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Lines w:val="0"/>
        <w:numPr>
          <w:ilvl w:val="0"/>
          <w:numId w:val="1"/>
        </w:numPr>
        <w:tabs>
          <w:tab w:val="left" w:pos="360"/>
        </w:tabs>
        <w:spacing w:before="0" w:line="290" w:lineRule="atLeast"/>
        <w:ind w:firstLine="0"/>
        <w:jc w:val="both"/>
        <w:rPr>
          <w:rFonts w:ascii="Times New Roman" w:hAnsi="Times New Roman" w:eastAsia="宋体" w:cs="Times New Roman"/>
          <w:sz w:val="22"/>
          <w:szCs w:val="22"/>
          <w:lang w:val="en-GB" w:eastAsia="zh-TW"/>
        </w:rPr>
      </w:pPr>
      <w:r>
        <w:rPr>
          <w:rFonts w:hint="eastAsia" w:ascii="Times New Roman" w:hAnsi="Times New Roman" w:eastAsia="宋体" w:cs="Times New Roman"/>
          <w:sz w:val="22"/>
          <w:szCs w:val="22"/>
          <w:lang w:val="en-GB" w:eastAsia="zh-CN"/>
        </w:rPr>
        <w:t>背景</w:t>
      </w:r>
    </w:p>
    <w:p>
      <w:pPr>
        <w:jc w:val="both"/>
        <w:rPr>
          <w:rFonts w:ascii="Times New Roman" w:hAnsi="Times New Roman" w:eastAsia="宋体" w:cs="Times New Roman"/>
          <w:lang w:eastAsia="zh-TW"/>
        </w:rPr>
      </w:pPr>
    </w:p>
    <w:p>
      <w:pPr>
        <w:jc w:val="both"/>
        <w:rPr>
          <w:rFonts w:ascii="Times New Roman" w:hAnsi="Times New Roman" w:eastAsia="宋体" w:cs="Times New Roman"/>
          <w:sz w:val="22"/>
          <w:szCs w:val="22"/>
          <w:lang w:eastAsia="zh-CN"/>
        </w:rPr>
      </w:pPr>
      <w:r>
        <w:rPr>
          <w:rFonts w:hint="eastAsia" w:ascii="Times New Roman" w:hAnsi="Times New Roman" w:eastAsia="宋体" w:cs="Times New Roman"/>
          <w:lang w:eastAsia="zh-CN"/>
        </w:rPr>
        <w:t>本</w:t>
      </w:r>
      <w:r>
        <w:rPr>
          <w:rFonts w:hint="eastAsia" w:ascii="Times New Roman" w:hAnsi="Times New Roman" w:eastAsia="宋体" w:cs="Times New Roman"/>
          <w:sz w:val="22"/>
          <w:szCs w:val="22"/>
          <w:lang w:eastAsia="zh-CN"/>
        </w:rPr>
        <w:t>项目的目标旨在为云部署项目</w:t>
      </w:r>
      <w:r>
        <w:rPr>
          <w:rFonts w:ascii="Times New Roman" w:hAnsi="Times New Roman" w:eastAsia="宋体" w:cs="Times New Roman"/>
          <w:sz w:val="22"/>
          <w:szCs w:val="22"/>
          <w:lang w:eastAsia="zh-CN"/>
        </w:rPr>
        <w:t>提供</w:t>
      </w:r>
      <w:r>
        <w:rPr>
          <w:rFonts w:hint="eastAsia" w:ascii="Times New Roman" w:hAnsi="Times New Roman" w:eastAsia="宋体" w:cs="Times New Roman"/>
          <w:sz w:val="22"/>
          <w:szCs w:val="22"/>
          <w:lang w:eastAsia="zh-CN"/>
        </w:rPr>
        <w:t>全面</w:t>
      </w:r>
      <w:r>
        <w:rPr>
          <w:rFonts w:ascii="Times New Roman" w:hAnsi="Times New Roman" w:eastAsia="宋体" w:cs="Times New Roman"/>
          <w:sz w:val="22"/>
          <w:szCs w:val="22"/>
          <w:lang w:eastAsia="zh-CN"/>
        </w:rPr>
        <w:t>的</w:t>
      </w:r>
      <w:r>
        <w:rPr>
          <w:rFonts w:hint="eastAsia" w:ascii="Times New Roman" w:hAnsi="Times New Roman" w:eastAsia="宋体" w:cs="Times New Roman"/>
          <w:sz w:val="22"/>
          <w:szCs w:val="22"/>
          <w:lang w:eastAsia="zh-CN"/>
        </w:rPr>
        <w:t>监管</w:t>
      </w:r>
      <w:r>
        <w:rPr>
          <w:rFonts w:ascii="Times New Roman" w:hAnsi="Times New Roman" w:eastAsia="宋体" w:cs="Times New Roman"/>
          <w:sz w:val="22"/>
          <w:szCs w:val="22"/>
          <w:lang w:eastAsia="zh-CN"/>
        </w:rPr>
        <w:t>合规</w:t>
      </w:r>
      <w:r>
        <w:rPr>
          <w:rFonts w:hint="eastAsia" w:ascii="Times New Roman" w:hAnsi="Times New Roman" w:eastAsia="宋体" w:cs="Times New Roman"/>
          <w:sz w:val="22"/>
          <w:szCs w:val="22"/>
          <w:lang w:eastAsia="zh-CN"/>
        </w:rPr>
        <w:t>以及</w:t>
      </w:r>
      <w:r>
        <w:rPr>
          <w:rFonts w:ascii="Times New Roman" w:hAnsi="Times New Roman" w:eastAsia="宋体" w:cs="Times New Roman"/>
          <w:sz w:val="22"/>
          <w:szCs w:val="22"/>
          <w:lang w:eastAsia="zh-CN"/>
        </w:rPr>
        <w:t>技术</w:t>
      </w:r>
      <w:r>
        <w:rPr>
          <w:rFonts w:hint="eastAsia" w:ascii="Times New Roman" w:hAnsi="Times New Roman" w:eastAsia="宋体" w:cs="Times New Roman"/>
          <w:sz w:val="22"/>
          <w:szCs w:val="22"/>
          <w:lang w:eastAsia="zh-CN"/>
        </w:rPr>
        <w:t>评估，评估内容包括：（</w:t>
      </w:r>
      <w:r>
        <w:rPr>
          <w:rFonts w:ascii="Times New Roman" w:hAnsi="Times New Roman" w:eastAsia="宋体" w:cs="Times New Roman"/>
          <w:sz w:val="22"/>
          <w:szCs w:val="22"/>
          <w:lang w:eastAsia="zh-CN"/>
        </w:rPr>
        <w:t>1</w:t>
      </w:r>
      <w:r>
        <w:rPr>
          <w:rFonts w:hint="eastAsia" w:ascii="Times New Roman" w:hAnsi="Times New Roman" w:eastAsia="宋体" w:cs="Times New Roman"/>
          <w:sz w:val="22"/>
          <w:szCs w:val="22"/>
          <w:lang w:eastAsia="zh-CN"/>
        </w:rPr>
        <w:t>）相关地区保险监管业合规评估（</w:t>
      </w:r>
      <w:r>
        <w:rPr>
          <w:rFonts w:ascii="Times New Roman" w:hAnsi="Times New Roman" w:eastAsia="宋体" w:cs="Times New Roman"/>
          <w:sz w:val="22"/>
          <w:szCs w:val="22"/>
          <w:lang w:eastAsia="zh-CN"/>
        </w:rPr>
        <w:t>2</w:t>
      </w:r>
      <w:r>
        <w:rPr>
          <w:rFonts w:hint="eastAsia" w:ascii="Times New Roman" w:hAnsi="Times New Roman" w:eastAsia="宋体" w:cs="Times New Roman"/>
          <w:sz w:val="22"/>
          <w:szCs w:val="22"/>
          <w:lang w:eastAsia="zh-CN"/>
        </w:rPr>
        <w:t>）技术评估（</w:t>
      </w:r>
      <w:r>
        <w:rPr>
          <w:rFonts w:ascii="Times New Roman" w:hAnsi="Times New Roman" w:eastAsia="宋体" w:cs="Times New Roman"/>
          <w:sz w:val="22"/>
          <w:szCs w:val="22"/>
          <w:lang w:eastAsia="zh-CN"/>
        </w:rPr>
        <w:t>3</w:t>
      </w:r>
      <w:r>
        <w:rPr>
          <w:rFonts w:hint="eastAsia" w:ascii="Times New Roman" w:hAnsi="Times New Roman" w:eastAsia="宋体" w:cs="Times New Roman"/>
          <w:sz w:val="22"/>
          <w:szCs w:val="22"/>
          <w:lang w:eastAsia="zh-CN"/>
        </w:rPr>
        <w:t>）相关地区网络安全、</w:t>
      </w:r>
      <w:r>
        <w:rPr>
          <w:rFonts w:ascii="Times New Roman" w:hAnsi="Times New Roman" w:eastAsia="宋体" w:cs="Times New Roman"/>
          <w:sz w:val="22"/>
          <w:szCs w:val="22"/>
          <w:lang w:eastAsia="zh-CN"/>
        </w:rPr>
        <w:t>数据安全、个人隐私保护等</w:t>
      </w:r>
      <w:r>
        <w:rPr>
          <w:rFonts w:hint="eastAsia" w:ascii="Times New Roman" w:hAnsi="Times New Roman" w:eastAsia="宋体" w:cs="Times New Roman"/>
          <w:sz w:val="22"/>
          <w:szCs w:val="22"/>
          <w:lang w:eastAsia="zh-CN"/>
        </w:rPr>
        <w:t>法律法规评估（统称为“服务”）。</w:t>
      </w:r>
    </w:p>
    <w:p>
      <w:pPr>
        <w:jc w:val="both"/>
        <w:rPr>
          <w:rFonts w:ascii="Times New Roman" w:hAnsi="Times New Roman" w:eastAsia="宋体" w:cs="Times New Roman"/>
          <w:sz w:val="22"/>
          <w:szCs w:val="22"/>
          <w:lang w:eastAsia="zh-CN"/>
        </w:rPr>
      </w:pPr>
    </w:p>
    <w:p>
      <w:pPr>
        <w:pStyle w:val="2"/>
        <w:keepLines w:val="0"/>
        <w:numPr>
          <w:ilvl w:val="0"/>
          <w:numId w:val="1"/>
        </w:numPr>
        <w:tabs>
          <w:tab w:val="left" w:pos="360"/>
        </w:tabs>
        <w:spacing w:before="0" w:line="290" w:lineRule="atLeast"/>
        <w:ind w:firstLine="0"/>
        <w:jc w:val="both"/>
        <w:rPr>
          <w:rFonts w:ascii="Times New Roman" w:hAnsi="Times New Roman" w:eastAsia="宋体" w:cs="Times New Roman"/>
          <w:color w:val="000000"/>
          <w:sz w:val="22"/>
          <w:szCs w:val="22"/>
          <w:lang w:eastAsia="zh-CN"/>
        </w:rPr>
      </w:pPr>
      <w:r>
        <w:rPr>
          <w:rFonts w:hint="eastAsia" w:ascii="Times New Roman" w:hAnsi="Times New Roman" w:eastAsia="宋体" w:cs="Times New Roman"/>
          <w:color w:val="000000"/>
          <w:sz w:val="22"/>
          <w:szCs w:val="22"/>
          <w:lang w:eastAsia="zh-CN"/>
        </w:rPr>
        <w:t>要求</w:t>
      </w:r>
    </w:p>
    <w:p>
      <w:pPr>
        <w:ind w:left="360"/>
        <w:jc w:val="both"/>
        <w:rPr>
          <w:rFonts w:ascii="Times New Roman" w:hAnsi="Times New Roman" w:cs="Times New Roman"/>
          <w:lang w:val="en-US" w:eastAsia="zh-CN"/>
        </w:rPr>
      </w:pPr>
    </w:p>
    <w:p>
      <w:pPr>
        <w:pStyle w:val="11"/>
        <w:numPr>
          <w:ilvl w:val="0"/>
          <w:numId w:val="2"/>
        </w:numPr>
        <w:spacing w:before="0" w:beforeAutospacing="0" w:after="0" w:afterAutospacing="0"/>
        <w:jc w:val="both"/>
        <w:textAlignment w:val="baseline"/>
        <w:rPr>
          <w:rStyle w:val="12"/>
          <w:rFonts w:eastAsia="宋体"/>
          <w:sz w:val="22"/>
          <w:szCs w:val="22"/>
        </w:rPr>
      </w:pPr>
      <w:r>
        <w:rPr>
          <w:rStyle w:val="12"/>
          <w:rFonts w:hint="eastAsia" w:eastAsia="宋体"/>
          <w:sz w:val="22"/>
          <w:szCs w:val="22"/>
        </w:rPr>
        <w:t>投标者要求：</w:t>
      </w:r>
    </w:p>
    <w:p>
      <w:pPr>
        <w:pStyle w:val="11"/>
        <w:numPr>
          <w:ilvl w:val="1"/>
          <w:numId w:val="2"/>
        </w:numPr>
        <w:spacing w:before="0" w:beforeAutospacing="0" w:after="0" w:afterAutospacing="0"/>
        <w:jc w:val="both"/>
        <w:textAlignment w:val="baseline"/>
        <w:rPr>
          <w:rStyle w:val="12"/>
          <w:rFonts w:eastAsia="宋体"/>
          <w:sz w:val="22"/>
          <w:szCs w:val="22"/>
        </w:rPr>
      </w:pPr>
      <w:r>
        <w:rPr>
          <w:rStyle w:val="12"/>
          <w:rFonts w:hint="eastAsia" w:eastAsia="宋体"/>
          <w:b/>
          <w:bCs/>
          <w:color w:val="000000"/>
          <w:sz w:val="22"/>
          <w:szCs w:val="22"/>
          <w:shd w:val="clear" w:color="auto" w:fill="FFFFFF"/>
        </w:rPr>
        <w:t>与各地区监管机关相关</w:t>
      </w:r>
      <w:r>
        <w:rPr>
          <w:rStyle w:val="12"/>
          <w:rFonts w:eastAsia="宋体"/>
          <w:b/>
          <w:bCs/>
          <w:color w:val="000000"/>
          <w:sz w:val="22"/>
          <w:szCs w:val="22"/>
          <w:shd w:val="clear" w:color="auto" w:fill="FFFFFF"/>
        </w:rPr>
        <w:t>合作</w:t>
      </w:r>
      <w:r>
        <w:rPr>
          <w:rStyle w:val="12"/>
          <w:rFonts w:hint="eastAsia" w:eastAsia="宋体"/>
          <w:b/>
          <w:bCs/>
          <w:color w:val="000000"/>
          <w:sz w:val="22"/>
          <w:szCs w:val="22"/>
          <w:shd w:val="clear" w:color="auto" w:fill="FFFFFF"/>
        </w:rPr>
        <w:t>经验：</w:t>
      </w:r>
      <w:r>
        <w:rPr>
          <w:rStyle w:val="12"/>
          <w:rFonts w:hint="eastAsia" w:eastAsia="宋体"/>
          <w:sz w:val="22"/>
          <w:szCs w:val="22"/>
        </w:rPr>
        <w:t>投标者需要拥有与中国大陆、香港、澳门、新加坡、印度尼西亚金融及保险监管机关相关合作经验</w:t>
      </w:r>
      <w:r>
        <w:rPr>
          <w:rStyle w:val="12"/>
          <w:rFonts w:eastAsia="宋体"/>
          <w:sz w:val="22"/>
          <w:szCs w:val="22"/>
        </w:rPr>
        <w:t>,</w:t>
      </w:r>
      <w:r>
        <w:rPr>
          <w:rStyle w:val="12"/>
          <w:rFonts w:hint="eastAsia" w:eastAsia="宋体"/>
          <w:sz w:val="22"/>
          <w:szCs w:val="22"/>
        </w:rPr>
        <w:t>对各地金融及保险监管理念要有深入认识、同时熟悉掌握该地区监管要求。（如制定网络安全、个人隐私保护及</w:t>
      </w:r>
      <w:r>
        <w:rPr>
          <w:rStyle w:val="12"/>
          <w:rFonts w:eastAsia="宋体"/>
          <w:sz w:val="22"/>
          <w:szCs w:val="22"/>
        </w:rPr>
        <w:t>数据安全</w:t>
      </w:r>
      <w:r>
        <w:rPr>
          <w:rStyle w:val="12"/>
          <w:rFonts w:hint="eastAsia" w:eastAsia="宋体"/>
          <w:sz w:val="22"/>
          <w:szCs w:val="22"/>
        </w:rPr>
        <w:t>规范，技术指引，云部署合规指引等）</w:t>
      </w:r>
      <w:r>
        <w:rPr>
          <w:rStyle w:val="12"/>
          <w:rFonts w:hint="eastAsia" w:eastAsia="宋体"/>
          <w:color w:val="000000"/>
          <w:sz w:val="22"/>
          <w:szCs w:val="22"/>
          <w:shd w:val="clear" w:color="auto" w:fill="FFFFFF"/>
        </w:rPr>
        <w:t>。</w:t>
      </w:r>
      <w:r>
        <w:rPr>
          <w:rStyle w:val="14"/>
          <w:rFonts w:eastAsia="宋体"/>
          <w:color w:val="000000"/>
          <w:sz w:val="22"/>
          <w:szCs w:val="22"/>
          <w:shd w:val="clear" w:color="auto" w:fill="FFFFFF"/>
        </w:rPr>
        <w:t> </w:t>
      </w:r>
    </w:p>
    <w:p>
      <w:pPr>
        <w:pStyle w:val="11"/>
        <w:numPr>
          <w:ilvl w:val="1"/>
          <w:numId w:val="2"/>
        </w:numPr>
        <w:spacing w:before="0" w:beforeAutospacing="0" w:after="0" w:afterAutospacing="0"/>
        <w:jc w:val="both"/>
        <w:textAlignment w:val="baseline"/>
        <w:rPr>
          <w:rFonts w:eastAsia="宋体"/>
          <w:sz w:val="22"/>
          <w:szCs w:val="22"/>
        </w:rPr>
      </w:pPr>
      <w:r>
        <w:rPr>
          <w:rStyle w:val="12"/>
          <w:rFonts w:hint="eastAsia" w:eastAsia="宋体"/>
          <w:b/>
          <w:bCs/>
          <w:sz w:val="22"/>
          <w:szCs w:val="22"/>
        </w:rPr>
        <w:t>合</w:t>
      </w:r>
      <w:r>
        <w:rPr>
          <w:rStyle w:val="13"/>
          <w:rFonts w:hint="eastAsia" w:eastAsia="宋体"/>
          <w:b/>
          <w:bCs/>
          <w:sz w:val="22"/>
          <w:szCs w:val="22"/>
        </w:rPr>
        <w:t>规性独立</w:t>
      </w:r>
      <w:r>
        <w:rPr>
          <w:rStyle w:val="12"/>
          <w:rFonts w:hint="eastAsia" w:eastAsia="宋体"/>
          <w:b/>
          <w:bCs/>
          <w:sz w:val="22"/>
          <w:szCs w:val="22"/>
        </w:rPr>
        <w:t>审查经验</w:t>
      </w:r>
      <w:r>
        <w:rPr>
          <w:rStyle w:val="12"/>
          <w:rFonts w:hint="eastAsia" w:eastAsia="宋体"/>
          <w:sz w:val="22"/>
          <w:szCs w:val="22"/>
        </w:rPr>
        <w:t>：投标者需要拥有对保险或金融机构合</w:t>
      </w:r>
      <w:r>
        <w:rPr>
          <w:rStyle w:val="13"/>
          <w:rFonts w:hint="eastAsia" w:eastAsia="宋体"/>
          <w:sz w:val="22"/>
          <w:szCs w:val="22"/>
        </w:rPr>
        <w:t>规</w:t>
      </w:r>
      <w:r>
        <w:rPr>
          <w:rStyle w:val="12"/>
          <w:rFonts w:hint="eastAsia" w:eastAsia="宋体"/>
          <w:sz w:val="22"/>
          <w:szCs w:val="22"/>
        </w:rPr>
        <w:t>性审查方面的经验及</w:t>
      </w:r>
      <w:r>
        <w:rPr>
          <w:rStyle w:val="12"/>
          <w:rFonts w:eastAsia="宋体"/>
          <w:sz w:val="22"/>
          <w:szCs w:val="22"/>
        </w:rPr>
        <w:t>丰富客户案例</w:t>
      </w:r>
      <w:r>
        <w:rPr>
          <w:rStyle w:val="12"/>
          <w:rFonts w:hint="eastAsia" w:eastAsia="宋体"/>
          <w:sz w:val="22"/>
          <w:szCs w:val="22"/>
        </w:rPr>
        <w:t>，对合</w:t>
      </w:r>
      <w:r>
        <w:rPr>
          <w:rStyle w:val="13"/>
          <w:rFonts w:hint="eastAsia" w:eastAsia="宋体"/>
          <w:sz w:val="22"/>
          <w:szCs w:val="22"/>
        </w:rPr>
        <w:t>规</w:t>
      </w:r>
      <w:r>
        <w:rPr>
          <w:rStyle w:val="12"/>
          <w:rFonts w:hint="eastAsia" w:eastAsia="宋体"/>
          <w:sz w:val="22"/>
          <w:szCs w:val="22"/>
        </w:rPr>
        <w:t>性标准和规定有深入理解和实践经验。</w:t>
      </w:r>
    </w:p>
    <w:p>
      <w:pPr>
        <w:pStyle w:val="11"/>
        <w:numPr>
          <w:ilvl w:val="1"/>
          <w:numId w:val="2"/>
        </w:numPr>
        <w:spacing w:before="0" w:beforeAutospacing="0" w:after="0" w:afterAutospacing="0"/>
        <w:jc w:val="both"/>
        <w:textAlignment w:val="baseline"/>
        <w:rPr>
          <w:rStyle w:val="12"/>
          <w:rFonts w:eastAsia="宋体"/>
          <w:sz w:val="22"/>
          <w:szCs w:val="22"/>
        </w:rPr>
      </w:pPr>
      <w:r>
        <w:rPr>
          <w:rStyle w:val="12"/>
          <w:rFonts w:hint="eastAsia" w:eastAsia="宋体"/>
          <w:b/>
          <w:bCs/>
          <w:sz w:val="22"/>
          <w:szCs w:val="22"/>
        </w:rPr>
        <w:t>网络安全，隐私保护法和</w:t>
      </w:r>
      <w:r>
        <w:rPr>
          <w:rStyle w:val="12"/>
          <w:rFonts w:eastAsia="宋体"/>
          <w:b/>
          <w:bCs/>
          <w:sz w:val="22"/>
          <w:szCs w:val="22"/>
        </w:rPr>
        <w:t>数据安全</w:t>
      </w:r>
      <w:r>
        <w:rPr>
          <w:rStyle w:val="12"/>
          <w:rFonts w:hint="eastAsia" w:eastAsia="宋体"/>
          <w:b/>
          <w:bCs/>
          <w:sz w:val="22"/>
          <w:szCs w:val="22"/>
        </w:rPr>
        <w:t>经验</w:t>
      </w:r>
      <w:r>
        <w:rPr>
          <w:rStyle w:val="12"/>
          <w:rFonts w:hint="eastAsia" w:eastAsia="宋体"/>
          <w:sz w:val="22"/>
          <w:szCs w:val="22"/>
        </w:rPr>
        <w:t>：投标者需要拥有与网络安全、隐私及</w:t>
      </w:r>
      <w:r>
        <w:rPr>
          <w:rStyle w:val="12"/>
          <w:rFonts w:eastAsia="宋体"/>
          <w:sz w:val="22"/>
          <w:szCs w:val="22"/>
        </w:rPr>
        <w:t>数据安全</w:t>
      </w:r>
      <w:r>
        <w:rPr>
          <w:rStyle w:val="12"/>
          <w:rFonts w:hint="eastAsia" w:eastAsia="宋体"/>
          <w:sz w:val="22"/>
          <w:szCs w:val="22"/>
        </w:rPr>
        <w:t>方面的丰富项目经验，包括但不限于：网络架构设计、网络</w:t>
      </w:r>
      <w:r>
        <w:rPr>
          <w:rStyle w:val="12"/>
          <w:rFonts w:eastAsia="宋体"/>
          <w:sz w:val="22"/>
          <w:szCs w:val="22"/>
        </w:rPr>
        <w:t>安全防护</w:t>
      </w:r>
      <w:r>
        <w:rPr>
          <w:rStyle w:val="12"/>
          <w:rFonts w:hint="eastAsia" w:eastAsia="宋体"/>
          <w:sz w:val="22"/>
          <w:szCs w:val="22"/>
        </w:rPr>
        <w:t>、个人信息保护，数据</w:t>
      </w:r>
      <w:r>
        <w:rPr>
          <w:rStyle w:val="12"/>
          <w:rFonts w:eastAsia="宋体"/>
          <w:sz w:val="22"/>
          <w:szCs w:val="22"/>
        </w:rPr>
        <w:t>全生命周期安全管理</w:t>
      </w:r>
      <w:r>
        <w:rPr>
          <w:rStyle w:val="12"/>
          <w:rFonts w:hint="eastAsia" w:eastAsia="宋体"/>
          <w:sz w:val="22"/>
          <w:szCs w:val="22"/>
        </w:rPr>
        <w:t>、</w:t>
      </w:r>
      <w:r>
        <w:rPr>
          <w:rStyle w:val="12"/>
          <w:rFonts w:eastAsia="宋体"/>
          <w:sz w:val="22"/>
          <w:szCs w:val="22"/>
        </w:rPr>
        <w:t>数据</w:t>
      </w:r>
      <w:r>
        <w:rPr>
          <w:rStyle w:val="12"/>
          <w:rFonts w:hint="eastAsia" w:eastAsia="宋体"/>
          <w:sz w:val="22"/>
          <w:szCs w:val="22"/>
        </w:rPr>
        <w:t>跨境</w:t>
      </w:r>
      <w:r>
        <w:rPr>
          <w:rStyle w:val="12"/>
          <w:rFonts w:eastAsia="宋体"/>
          <w:sz w:val="22"/>
          <w:szCs w:val="22"/>
        </w:rPr>
        <w:t>传输</w:t>
      </w:r>
      <w:r>
        <w:rPr>
          <w:rStyle w:val="12"/>
          <w:rFonts w:hint="eastAsia" w:eastAsia="宋体"/>
          <w:sz w:val="22"/>
          <w:szCs w:val="22"/>
        </w:rPr>
        <w:t>，以及相关政策/标准/制度文件的撰写等。</w:t>
      </w:r>
    </w:p>
    <w:p>
      <w:pPr>
        <w:pStyle w:val="11"/>
        <w:numPr>
          <w:ilvl w:val="1"/>
          <w:numId w:val="2"/>
        </w:numPr>
        <w:spacing w:before="0" w:beforeAutospacing="0" w:after="0" w:afterAutospacing="0"/>
        <w:jc w:val="both"/>
        <w:textAlignment w:val="baseline"/>
        <w:rPr>
          <w:rFonts w:eastAsia="宋体"/>
          <w:sz w:val="22"/>
          <w:szCs w:val="22"/>
        </w:rPr>
      </w:pPr>
      <w:r>
        <w:rPr>
          <w:rStyle w:val="12"/>
          <w:rFonts w:hint="eastAsia" w:eastAsia="宋体"/>
          <w:b/>
          <w:bCs/>
          <w:sz w:val="22"/>
          <w:szCs w:val="22"/>
        </w:rPr>
        <w:t>拥有在亚太地区或全球范围内为客户提供多管辖区合规咨询服务的经验。</w:t>
      </w:r>
    </w:p>
    <w:p>
      <w:pPr>
        <w:pStyle w:val="11"/>
        <w:numPr>
          <w:ilvl w:val="1"/>
          <w:numId w:val="2"/>
        </w:numPr>
        <w:spacing w:before="0" w:beforeAutospacing="0" w:after="0" w:afterAutospacing="0"/>
        <w:jc w:val="both"/>
        <w:textAlignment w:val="baseline"/>
        <w:rPr>
          <w:rStyle w:val="14"/>
          <w:rFonts w:eastAsia="宋体"/>
          <w:sz w:val="22"/>
          <w:szCs w:val="22"/>
        </w:rPr>
      </w:pPr>
      <w:r>
        <w:rPr>
          <w:rStyle w:val="13"/>
          <w:rFonts w:hint="eastAsia" w:eastAsia="宋体"/>
          <w:b/>
          <w:bCs/>
          <w:sz w:val="22"/>
          <w:szCs w:val="22"/>
        </w:rPr>
        <w:t>云安全</w:t>
      </w:r>
      <w:r>
        <w:rPr>
          <w:rStyle w:val="12"/>
          <w:rFonts w:hint="eastAsia" w:eastAsia="宋体"/>
          <w:b/>
          <w:bCs/>
          <w:sz w:val="22"/>
          <w:szCs w:val="22"/>
        </w:rPr>
        <w:t>及部署评估经验</w:t>
      </w:r>
      <w:r>
        <w:rPr>
          <w:rStyle w:val="12"/>
          <w:rFonts w:hint="eastAsia" w:eastAsia="宋体"/>
          <w:sz w:val="22"/>
          <w:szCs w:val="22"/>
        </w:rPr>
        <w:t>：投标者需要具备</w:t>
      </w:r>
      <w:r>
        <w:rPr>
          <w:rStyle w:val="12"/>
          <w:rFonts w:eastAsia="宋体"/>
          <w:sz w:val="22"/>
          <w:szCs w:val="22"/>
        </w:rPr>
        <w:t>IT</w:t>
      </w:r>
      <w:r>
        <w:rPr>
          <w:rStyle w:val="12"/>
          <w:rFonts w:hint="eastAsia" w:eastAsia="宋体"/>
          <w:sz w:val="22"/>
          <w:szCs w:val="22"/>
        </w:rPr>
        <w:t>治理，云技术，云安全性，</w:t>
      </w:r>
      <w:r>
        <w:rPr>
          <w:rStyle w:val="13"/>
          <w:rFonts w:hint="eastAsia" w:eastAsia="宋体"/>
          <w:sz w:val="22"/>
          <w:szCs w:val="22"/>
        </w:rPr>
        <w:t>云安全</w:t>
      </w:r>
      <w:r>
        <w:rPr>
          <w:rStyle w:val="12"/>
          <w:rFonts w:hint="eastAsia" w:eastAsia="宋体"/>
          <w:sz w:val="22"/>
          <w:szCs w:val="22"/>
        </w:rPr>
        <w:t>审查，</w:t>
      </w:r>
      <w:r>
        <w:rPr>
          <w:rStyle w:val="12"/>
          <w:rFonts w:eastAsia="宋体"/>
          <w:sz w:val="22"/>
          <w:szCs w:val="22"/>
        </w:rPr>
        <w:t>IT</w:t>
      </w:r>
      <w:r>
        <w:rPr>
          <w:rStyle w:val="12"/>
          <w:rFonts w:hint="eastAsia" w:eastAsia="宋体"/>
          <w:sz w:val="22"/>
          <w:szCs w:val="22"/>
        </w:rPr>
        <w:t>风险评估等经验，进行过相关评估之项目。</w:t>
      </w:r>
    </w:p>
    <w:p>
      <w:pPr>
        <w:pStyle w:val="11"/>
        <w:spacing w:before="0" w:beforeAutospacing="0" w:after="0" w:afterAutospacing="0"/>
        <w:ind w:left="1440"/>
        <w:jc w:val="both"/>
        <w:textAlignment w:val="baseline"/>
        <w:rPr>
          <w:rStyle w:val="14"/>
          <w:rFonts w:eastAsia="宋体"/>
          <w:sz w:val="22"/>
          <w:szCs w:val="22"/>
        </w:rPr>
      </w:pPr>
    </w:p>
    <w:p>
      <w:pPr>
        <w:pStyle w:val="11"/>
        <w:numPr>
          <w:ilvl w:val="0"/>
          <w:numId w:val="2"/>
        </w:numPr>
        <w:spacing w:before="0" w:beforeAutospacing="0" w:after="0" w:afterAutospacing="0"/>
        <w:jc w:val="both"/>
        <w:textAlignment w:val="baseline"/>
        <w:rPr>
          <w:rStyle w:val="12"/>
          <w:rFonts w:eastAsia="宋体"/>
          <w:sz w:val="22"/>
          <w:szCs w:val="22"/>
        </w:rPr>
      </w:pPr>
      <w:r>
        <w:rPr>
          <w:rStyle w:val="12"/>
          <w:rFonts w:hint="eastAsia" w:eastAsia="宋体"/>
          <w:color w:val="000000"/>
          <w:sz w:val="22"/>
          <w:szCs w:val="22"/>
          <w:shd w:val="clear" w:color="auto" w:fill="FFFFFF"/>
        </w:rPr>
        <w:t>投标者之团队需要具备以下相关的经验和资格</w:t>
      </w:r>
      <w:r>
        <w:rPr>
          <w:rStyle w:val="12"/>
          <w:rFonts w:hint="eastAsia" w:eastAsia="宋体"/>
          <w:sz w:val="22"/>
          <w:szCs w:val="22"/>
        </w:rPr>
        <w:t>：</w:t>
      </w:r>
    </w:p>
    <w:p>
      <w:pPr>
        <w:pStyle w:val="11"/>
        <w:numPr>
          <w:ilvl w:val="1"/>
          <w:numId w:val="3"/>
        </w:numPr>
        <w:jc w:val="both"/>
        <w:textAlignment w:val="baseline"/>
        <w:rPr>
          <w:sz w:val="22"/>
          <w:szCs w:val="22"/>
        </w:rPr>
      </w:pPr>
      <w:r>
        <w:rPr>
          <w:rFonts w:hint="eastAsia" w:eastAsia="宋体"/>
          <w:b/>
          <w:bCs/>
          <w:sz w:val="22"/>
          <w:szCs w:val="22"/>
        </w:rPr>
        <w:t>信息安全专家</w:t>
      </w:r>
      <w:r>
        <w:rPr>
          <w:rFonts w:hint="eastAsia" w:eastAsia="宋体"/>
          <w:sz w:val="22"/>
          <w:szCs w:val="22"/>
        </w:rPr>
        <w:t>：需要具备较为深入的信息安全知识，包括网络安全、应用安全、数据安全等方面的知识。同时需要熟悉相关的国家和行业标准，以及相关的安全技术和工具。需要有多年信息安全领域的实践经验，能够对客户的安全需求进行分析和评估，提供有效的安全解决方案。信息安全相关资格认证：例如</w:t>
      </w:r>
      <w:r>
        <w:rPr>
          <w:rFonts w:eastAsia="宋体"/>
          <w:sz w:val="22"/>
          <w:szCs w:val="22"/>
        </w:rPr>
        <w:t>CISA</w:t>
      </w:r>
      <w:r>
        <w:rPr>
          <w:rFonts w:hint="eastAsia" w:eastAsia="宋体"/>
          <w:sz w:val="22"/>
          <w:szCs w:val="22"/>
        </w:rPr>
        <w:t>，</w:t>
      </w:r>
      <w:r>
        <w:rPr>
          <w:rFonts w:eastAsia="宋体"/>
          <w:sz w:val="22"/>
          <w:szCs w:val="22"/>
        </w:rPr>
        <w:t>CISM</w:t>
      </w:r>
      <w:r>
        <w:rPr>
          <w:rFonts w:hint="eastAsia" w:eastAsia="宋体"/>
          <w:sz w:val="22"/>
          <w:szCs w:val="22"/>
        </w:rPr>
        <w:t>，</w:t>
      </w:r>
      <w:r>
        <w:rPr>
          <w:rFonts w:eastAsia="宋体"/>
          <w:sz w:val="22"/>
          <w:szCs w:val="22"/>
        </w:rPr>
        <w:t>CISSP</w:t>
      </w:r>
      <w:r>
        <w:rPr>
          <w:rFonts w:hint="eastAsia" w:eastAsia="宋体"/>
          <w:sz w:val="22"/>
          <w:szCs w:val="22"/>
        </w:rPr>
        <w:t>，</w:t>
      </w:r>
      <w:r>
        <w:rPr>
          <w:rFonts w:eastAsia="宋体"/>
          <w:sz w:val="22"/>
          <w:szCs w:val="22"/>
        </w:rPr>
        <w:t>CIPP/E, CIPT, CDPSE, ISO/IEC 27001 Lead Auditor / Implementer,OCP</w:t>
      </w:r>
      <w:r>
        <w:rPr>
          <w:rFonts w:hint="eastAsia" w:eastAsia="宋体"/>
          <w:sz w:val="22"/>
          <w:szCs w:val="22"/>
        </w:rPr>
        <w:t>，</w:t>
      </w:r>
      <w:r>
        <w:rPr>
          <w:rFonts w:eastAsia="宋体"/>
          <w:sz w:val="22"/>
          <w:szCs w:val="22"/>
        </w:rPr>
        <w:t>OSCE</w:t>
      </w:r>
      <w:r>
        <w:rPr>
          <w:rFonts w:hint="eastAsia" w:eastAsia="宋体"/>
          <w:sz w:val="22"/>
          <w:szCs w:val="22"/>
        </w:rPr>
        <w:t>，</w:t>
      </w:r>
      <w:r>
        <w:rPr>
          <w:rFonts w:eastAsia="宋体"/>
          <w:sz w:val="22"/>
          <w:szCs w:val="22"/>
        </w:rPr>
        <w:t>CREST</w:t>
      </w:r>
      <w:r>
        <w:rPr>
          <w:rFonts w:hint="eastAsia" w:eastAsia="宋体"/>
          <w:sz w:val="22"/>
          <w:szCs w:val="22"/>
        </w:rPr>
        <w:t>等资格认证。</w:t>
      </w:r>
    </w:p>
    <w:p>
      <w:pPr>
        <w:pStyle w:val="11"/>
        <w:numPr>
          <w:ilvl w:val="1"/>
          <w:numId w:val="3"/>
        </w:numPr>
        <w:jc w:val="both"/>
        <w:textAlignment w:val="baseline"/>
        <w:rPr>
          <w:sz w:val="22"/>
          <w:szCs w:val="22"/>
        </w:rPr>
      </w:pPr>
      <w:r>
        <w:rPr>
          <w:rFonts w:hint="eastAsia" w:eastAsia="宋体"/>
          <w:b/>
          <w:bCs/>
          <w:sz w:val="22"/>
          <w:szCs w:val="22"/>
        </w:rPr>
        <w:t>项目管理相关资格认证：</w:t>
      </w:r>
      <w:r>
        <w:rPr>
          <w:rFonts w:hint="eastAsia" w:eastAsia="宋体"/>
          <w:sz w:val="22"/>
          <w:szCs w:val="22"/>
        </w:rPr>
        <w:t>例如</w:t>
      </w:r>
      <w:r>
        <w:rPr>
          <w:rFonts w:eastAsia="宋体"/>
          <w:sz w:val="22"/>
          <w:szCs w:val="22"/>
        </w:rPr>
        <w:t>PMP, PSM</w:t>
      </w:r>
      <w:r>
        <w:rPr>
          <w:rFonts w:hint="eastAsia" w:eastAsia="宋体"/>
          <w:sz w:val="22"/>
          <w:szCs w:val="22"/>
        </w:rPr>
        <w:t>等资格认证，需要具备较强的项目管理能力，能够协调各个团队成员的工作，管理项目进度、质量和成本，确保项目顺利完成并达到甲方期望，至少具备1</w:t>
      </w:r>
      <w:r>
        <w:rPr>
          <w:rFonts w:eastAsia="宋体"/>
          <w:sz w:val="22"/>
          <w:szCs w:val="22"/>
        </w:rPr>
        <w:t>0</w:t>
      </w:r>
      <w:r>
        <w:rPr>
          <w:rFonts w:hint="eastAsia" w:eastAsia="宋体"/>
          <w:sz w:val="22"/>
          <w:szCs w:val="22"/>
        </w:rPr>
        <w:t>年PMP经验。</w:t>
      </w:r>
    </w:p>
    <w:p>
      <w:pPr>
        <w:pStyle w:val="11"/>
        <w:numPr>
          <w:ilvl w:val="1"/>
          <w:numId w:val="3"/>
        </w:numPr>
        <w:jc w:val="both"/>
        <w:textAlignment w:val="baseline"/>
        <w:rPr>
          <w:sz w:val="22"/>
          <w:szCs w:val="22"/>
        </w:rPr>
      </w:pPr>
      <w:r>
        <w:rPr>
          <w:rFonts w:hint="eastAsia" w:eastAsia="宋体"/>
          <w:b/>
          <w:bCs/>
          <w:sz w:val="22"/>
          <w:szCs w:val="22"/>
        </w:rPr>
        <w:t>合规性专家：</w:t>
      </w:r>
      <w:r>
        <w:rPr>
          <w:rFonts w:hint="eastAsia" w:eastAsia="宋体"/>
          <w:sz w:val="22"/>
          <w:szCs w:val="22"/>
        </w:rPr>
        <w:t>需要具备合规性方面的知识，包括相关网络安全法、隐私保护法、数据</w:t>
      </w:r>
      <w:r>
        <w:rPr>
          <w:rFonts w:eastAsia="宋体"/>
          <w:sz w:val="22"/>
          <w:szCs w:val="22"/>
        </w:rPr>
        <w:t>安全法、</w:t>
      </w:r>
      <w:r>
        <w:rPr>
          <w:rFonts w:hint="eastAsia" w:eastAsia="宋体"/>
          <w:sz w:val="22"/>
          <w:szCs w:val="22"/>
        </w:rPr>
        <w:t>数据处境合规、</w:t>
      </w:r>
      <w:r>
        <w:rPr>
          <w:rFonts w:eastAsia="宋体"/>
          <w:sz w:val="22"/>
          <w:szCs w:val="22"/>
        </w:rPr>
        <w:t>PDPO</w:t>
      </w:r>
      <w:r>
        <w:rPr>
          <w:rFonts w:hint="eastAsia" w:eastAsia="宋体"/>
          <w:sz w:val="22"/>
          <w:szCs w:val="22"/>
        </w:rPr>
        <w:t>、</w:t>
      </w:r>
      <w:r>
        <w:rPr>
          <w:rFonts w:eastAsia="宋体"/>
          <w:sz w:val="22"/>
          <w:szCs w:val="22"/>
        </w:rPr>
        <w:t>PCI-DSS</w:t>
      </w:r>
      <w:r>
        <w:rPr>
          <w:rFonts w:hint="eastAsia" w:eastAsia="宋体"/>
          <w:sz w:val="22"/>
          <w:szCs w:val="22"/>
        </w:rPr>
        <w:t>等合规性标准和规定的理解和实践经验。需要对各种合规性标准和规定进行深入了解，能够为客户提供有效的合规性咨询和方案。</w:t>
      </w:r>
    </w:p>
    <w:p>
      <w:pPr>
        <w:pStyle w:val="11"/>
        <w:numPr>
          <w:ilvl w:val="1"/>
          <w:numId w:val="3"/>
        </w:numPr>
        <w:jc w:val="both"/>
        <w:textAlignment w:val="baseline"/>
        <w:rPr>
          <w:sz w:val="22"/>
          <w:szCs w:val="22"/>
        </w:rPr>
      </w:pPr>
      <w:r>
        <w:rPr>
          <w:rFonts w:hint="eastAsia" w:eastAsia="宋体"/>
          <w:b/>
          <w:bCs/>
          <w:sz w:val="22"/>
          <w:szCs w:val="22"/>
        </w:rPr>
        <w:t>风险评估专家：</w:t>
      </w:r>
      <w:r>
        <w:rPr>
          <w:rFonts w:hint="eastAsia" w:eastAsia="宋体"/>
          <w:sz w:val="22"/>
          <w:szCs w:val="22"/>
        </w:rPr>
        <w:t>需要具备风险评估方面的知识和经验，能够对客户的系统部署进行风险评估，识别潜在的风险和漏洞，并提供有效的风险控制和管理方案。</w:t>
      </w:r>
    </w:p>
    <w:p>
      <w:pPr>
        <w:pStyle w:val="11"/>
        <w:numPr>
          <w:ilvl w:val="1"/>
          <w:numId w:val="3"/>
        </w:numPr>
        <w:jc w:val="both"/>
        <w:textAlignment w:val="baseline"/>
        <w:rPr>
          <w:sz w:val="22"/>
          <w:szCs w:val="22"/>
        </w:rPr>
      </w:pPr>
      <w:r>
        <w:rPr>
          <w:rFonts w:hint="eastAsia" w:eastAsia="宋体"/>
          <w:b/>
          <w:bCs/>
          <w:sz w:val="22"/>
          <w:szCs w:val="22"/>
        </w:rPr>
        <w:t>云部署技术专家</w:t>
      </w:r>
      <w:r>
        <w:rPr>
          <w:rFonts w:eastAsia="宋体"/>
          <w:b/>
          <w:bCs/>
          <w:sz w:val="22"/>
          <w:szCs w:val="22"/>
        </w:rPr>
        <w:t xml:space="preserve">: </w:t>
      </w:r>
      <w:r>
        <w:rPr>
          <w:rFonts w:hint="eastAsia" w:eastAsia="宋体"/>
          <w:sz w:val="22"/>
          <w:szCs w:val="22"/>
        </w:rPr>
        <w:t>需要对目标云技术掌握充足认识及获取相关认证</w:t>
      </w:r>
      <w:r>
        <w:rPr>
          <w:rFonts w:eastAsia="宋体"/>
          <w:sz w:val="22"/>
          <w:szCs w:val="22"/>
        </w:rPr>
        <w:t xml:space="preserve">, </w:t>
      </w:r>
      <w:r>
        <w:rPr>
          <w:rFonts w:hint="eastAsia" w:eastAsia="宋体"/>
          <w:sz w:val="22"/>
          <w:szCs w:val="22"/>
        </w:rPr>
        <w:t>能对云供货商独有技术进行中立客观技术评估。</w:t>
      </w:r>
    </w:p>
    <w:p>
      <w:pPr>
        <w:pStyle w:val="2"/>
        <w:keepLines w:val="0"/>
        <w:numPr>
          <w:ilvl w:val="0"/>
          <w:numId w:val="1"/>
        </w:numPr>
        <w:tabs>
          <w:tab w:val="left" w:pos="360"/>
        </w:tabs>
        <w:spacing w:before="0" w:line="290" w:lineRule="atLeast"/>
        <w:ind w:firstLine="0"/>
        <w:jc w:val="both"/>
        <w:rPr>
          <w:rFonts w:ascii="Times New Roman" w:hAnsi="Times New Roman" w:eastAsia="宋体" w:cs="Times New Roman"/>
          <w:color w:val="000000"/>
          <w:sz w:val="22"/>
          <w:szCs w:val="22"/>
          <w:lang w:eastAsia="zh-TW"/>
        </w:rPr>
      </w:pPr>
      <w:r>
        <w:rPr>
          <w:rFonts w:hint="eastAsia" w:ascii="Times New Roman" w:hAnsi="Times New Roman" w:eastAsia="宋体" w:cs="Times New Roman"/>
          <w:color w:val="000000"/>
          <w:sz w:val="22"/>
          <w:szCs w:val="22"/>
          <w:lang w:eastAsia="zh-CN"/>
        </w:rPr>
        <w:t>工作范围</w:t>
      </w:r>
    </w:p>
    <w:p>
      <w:pPr>
        <w:jc w:val="both"/>
        <w:rPr>
          <w:rFonts w:ascii="Times New Roman" w:hAnsi="Times New Roman" w:eastAsia="宋体" w:cs="Times New Roman"/>
          <w:lang w:val="en-US" w:eastAsia="zh-TW"/>
        </w:rPr>
      </w:pPr>
    </w:p>
    <w:p>
      <w:pPr>
        <w:jc w:val="both"/>
        <w:rPr>
          <w:rFonts w:ascii="Times New Roman" w:hAnsi="Times New Roman" w:eastAsia="宋体" w:cs="Times New Roman"/>
          <w:lang w:val="en-US" w:eastAsia="zh-CN"/>
        </w:rPr>
      </w:pPr>
      <w:r>
        <w:rPr>
          <w:rFonts w:hint="eastAsia" w:ascii="Times New Roman" w:hAnsi="Times New Roman" w:eastAsia="宋体" w:cs="Times New Roman"/>
          <w:lang w:val="en-US" w:eastAsia="zh-CN"/>
        </w:rPr>
        <w:t>工作范围包括三个工作流程</w:t>
      </w:r>
      <w:r>
        <w:rPr>
          <w:rFonts w:hint="eastAsia" w:ascii="Times New Roman" w:hAnsi="Times New Roman" w:eastAsia="宋体" w:cs="Times New Roman"/>
          <w:bCs/>
          <w:lang w:eastAsia="zh-CN"/>
        </w:rPr>
        <w:t>针对下列系统部署</w:t>
      </w:r>
      <w:r>
        <w:rPr>
          <w:rFonts w:ascii="Times New Roman" w:hAnsi="Times New Roman" w:eastAsia="宋体" w:cs="Times New Roman"/>
          <w:lang w:val="en-US" w:eastAsia="zh-CN"/>
        </w:rPr>
        <w:t>:</w:t>
      </w:r>
    </w:p>
    <w:tbl>
      <w:tblPr>
        <w:tblStyle w:val="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2567"/>
        <w:gridCol w:w="1559"/>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2106" w:type="dxa"/>
          </w:tcPr>
          <w:p>
            <w:pPr>
              <w:jc w:val="both"/>
              <w:rPr>
                <w:rFonts w:ascii="Times New Roman" w:hAnsi="Times New Roman" w:eastAsia="宋体" w:cs="Times New Roman"/>
                <w:lang w:eastAsia="zh-TW"/>
              </w:rPr>
            </w:pPr>
            <w:r>
              <w:rPr>
                <w:rFonts w:hint="eastAsia" w:ascii="Times New Roman" w:hAnsi="Times New Roman" w:eastAsia="宋体" w:cs="Times New Roman"/>
                <w:b/>
                <w:bCs/>
                <w:lang w:eastAsia="zh-CN"/>
              </w:rPr>
              <w:t>地点</w:t>
            </w:r>
          </w:p>
        </w:tc>
        <w:tc>
          <w:tcPr>
            <w:tcW w:w="2567" w:type="dxa"/>
          </w:tcPr>
          <w:p>
            <w:pPr>
              <w:jc w:val="both"/>
              <w:rPr>
                <w:rFonts w:ascii="Times New Roman" w:hAnsi="Times New Roman" w:eastAsia="宋体" w:cs="Times New Roman"/>
                <w:lang w:eastAsia="zh-TW"/>
              </w:rPr>
            </w:pPr>
            <w:r>
              <w:rPr>
                <w:rFonts w:hint="eastAsia" w:ascii="Times New Roman" w:hAnsi="Times New Roman" w:eastAsia="宋体" w:cs="Times New Roman"/>
                <w:b/>
                <w:bCs/>
                <w:lang w:eastAsia="zh-CN"/>
              </w:rPr>
              <w:t>针对系统</w:t>
            </w:r>
          </w:p>
        </w:tc>
        <w:tc>
          <w:tcPr>
            <w:tcW w:w="1559" w:type="dxa"/>
          </w:tcPr>
          <w:p>
            <w:pPr>
              <w:jc w:val="both"/>
              <w:rPr>
                <w:rFonts w:ascii="Times New Roman" w:hAnsi="Times New Roman" w:eastAsia="宋体" w:cs="Times New Roman"/>
                <w:lang w:eastAsia="zh-TW"/>
              </w:rPr>
            </w:pPr>
            <w:r>
              <w:rPr>
                <w:rFonts w:hint="eastAsia" w:ascii="Times New Roman" w:hAnsi="Times New Roman" w:eastAsia="宋体" w:cs="Times New Roman"/>
                <w:b/>
                <w:bCs/>
                <w:lang w:eastAsia="zh-CN"/>
              </w:rPr>
              <w:t>上线基础设施</w:t>
            </w:r>
          </w:p>
        </w:tc>
        <w:tc>
          <w:tcPr>
            <w:tcW w:w="2694" w:type="dxa"/>
          </w:tcPr>
          <w:p>
            <w:pPr>
              <w:jc w:val="both"/>
              <w:rPr>
                <w:rFonts w:hint="eastAsia" w:ascii="Times New Roman" w:hAnsi="Times New Roman" w:eastAsia="宋体" w:cs="Times New Roman"/>
                <w:b/>
                <w:bCs/>
                <w:lang w:eastAsia="zh-CN"/>
              </w:rPr>
            </w:pPr>
            <w:r>
              <w:rPr>
                <w:rFonts w:hint="eastAsia" w:ascii="Times New Roman" w:hAnsi="Times New Roman" w:eastAsia="宋体" w:cs="Times New Roman"/>
                <w:b/>
                <w:bCs/>
                <w:lang w:eastAsia="zh-CN"/>
              </w:rPr>
              <w:t>公司涉及业务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106" w:type="dxa"/>
          </w:tcPr>
          <w:p>
            <w:pPr>
              <w:jc w:val="both"/>
              <w:rPr>
                <w:rFonts w:ascii="Times New Roman" w:hAnsi="Times New Roman" w:cs="Times New Roman" w:eastAsiaTheme="minorEastAsia"/>
                <w:lang w:eastAsia="zh-CN"/>
              </w:rPr>
            </w:pPr>
            <w:r>
              <w:rPr>
                <w:rFonts w:hint="eastAsia" w:ascii="Times New Roman" w:hAnsi="Times New Roman" w:eastAsia="宋体" w:cs="Times New Roman"/>
                <w:lang w:eastAsia="zh-CN"/>
              </w:rPr>
              <w:t>中国大陆、中国香港</w:t>
            </w:r>
            <w:r>
              <w:rPr>
                <w:rFonts w:ascii="Times New Roman" w:hAnsi="Times New Roman" w:eastAsia="宋体" w:cs="Times New Roman"/>
                <w:lang w:eastAsia="zh-CN"/>
              </w:rPr>
              <w:t>,</w:t>
            </w:r>
            <w:r>
              <w:rPr>
                <w:rFonts w:hint="eastAsia" w:ascii="Times New Roman" w:hAnsi="Times New Roman" w:eastAsia="宋体" w:cs="Times New Roman"/>
                <w:lang w:eastAsia="zh-CN"/>
              </w:rPr>
              <w:t>中国澳门</w:t>
            </w:r>
            <w:r>
              <w:rPr>
                <w:rFonts w:ascii="Times New Roman" w:hAnsi="Times New Roman" w:eastAsia="宋体" w:cs="Times New Roman"/>
                <w:lang w:eastAsia="zh-CN"/>
              </w:rPr>
              <w:t>,</w:t>
            </w:r>
            <w:r>
              <w:rPr>
                <w:rFonts w:hint="eastAsia" w:ascii="Times New Roman" w:hAnsi="Times New Roman" w:eastAsia="宋体" w:cs="Times New Roman"/>
                <w:lang w:eastAsia="zh-CN"/>
              </w:rPr>
              <w:t>新加坡及印度尼西亚</w:t>
            </w:r>
          </w:p>
        </w:tc>
        <w:tc>
          <w:tcPr>
            <w:tcW w:w="2567" w:type="dxa"/>
          </w:tcPr>
          <w:p>
            <w:pPr>
              <w:jc w:val="both"/>
              <w:rPr>
                <w:rFonts w:ascii="Times New Roman" w:hAnsi="Times New Roman" w:cs="Times New Roman" w:eastAsiaTheme="minorEastAsia"/>
                <w:lang w:val="en-US" w:eastAsia="zh-TW"/>
              </w:rPr>
            </w:pPr>
            <w:r>
              <w:rPr>
                <w:rFonts w:ascii="Times New Roman" w:hAnsi="Times New Roman" w:eastAsia="宋体" w:cs="Times New Roman"/>
                <w:lang w:eastAsia="zh-CN"/>
              </w:rPr>
              <w:t xml:space="preserve">OneContact </w:t>
            </w:r>
            <w:r>
              <w:rPr>
                <w:rFonts w:hint="eastAsia" w:ascii="Times New Roman" w:hAnsi="Times New Roman" w:eastAsia="宋体" w:cs="Times New Roman"/>
                <w:lang w:eastAsia="zh-CN"/>
              </w:rPr>
              <w:t>系统及云底座</w:t>
            </w:r>
          </w:p>
        </w:tc>
        <w:tc>
          <w:tcPr>
            <w:tcW w:w="1559" w:type="dxa"/>
          </w:tcPr>
          <w:p>
            <w:pPr>
              <w:jc w:val="both"/>
              <w:rPr>
                <w:rFonts w:ascii="Times New Roman" w:hAnsi="Times New Roman" w:eastAsia="宋体" w:cs="Times New Roman"/>
                <w:lang w:eastAsia="zh-TW"/>
              </w:rPr>
            </w:pPr>
            <w:r>
              <w:rPr>
                <w:rFonts w:hint="eastAsia" w:ascii="Times New Roman" w:hAnsi="Times New Roman" w:eastAsia="宋体" w:cs="Times New Roman"/>
                <w:lang w:eastAsia="zh-CN"/>
              </w:rPr>
              <w:t>公有云</w:t>
            </w:r>
          </w:p>
        </w:tc>
        <w:tc>
          <w:tcPr>
            <w:tcW w:w="2694" w:type="dxa"/>
          </w:tcPr>
          <w:p>
            <w:pPr>
              <w:jc w:val="both"/>
              <w:rPr>
                <w:rFonts w:ascii="Times New Roman" w:hAnsi="Times New Roman" w:eastAsia="宋体" w:cs="Times New Roman"/>
                <w:lang w:eastAsia="zh-CN"/>
              </w:rPr>
            </w:pPr>
            <w:r>
              <w:rPr>
                <w:rFonts w:hint="eastAsia" w:ascii="Times New Roman" w:hAnsi="Times New Roman" w:eastAsia="宋体" w:cs="Times New Roman"/>
                <w:lang w:eastAsia="zh-CN"/>
              </w:rPr>
              <w:t>香港地区：个人保险、雇员保险、强积金、公积金；转售一般保险；</w:t>
            </w:r>
          </w:p>
          <w:p>
            <w:pPr>
              <w:jc w:val="both"/>
              <w:rPr>
                <w:rFonts w:ascii="Times New Roman" w:hAnsi="Times New Roman" w:eastAsia="宋体" w:cs="Times New Roman"/>
                <w:lang w:eastAsia="zh-CN"/>
              </w:rPr>
            </w:pPr>
            <w:r>
              <w:rPr>
                <w:rFonts w:hint="eastAsia" w:ascii="Times New Roman" w:hAnsi="Times New Roman" w:eastAsia="宋体" w:cs="Times New Roman"/>
                <w:lang w:eastAsia="zh-CN"/>
              </w:rPr>
              <w:t>澳门地区：个人保险、雇员团体保险、退休金产品；</w:t>
            </w:r>
          </w:p>
          <w:p>
            <w:pPr>
              <w:jc w:val="both"/>
              <w:rPr>
                <w:rFonts w:ascii="Times New Roman" w:hAnsi="Times New Roman" w:eastAsia="宋体" w:cs="Times New Roman"/>
                <w:lang w:eastAsia="zh-CN"/>
              </w:rPr>
            </w:pPr>
            <w:r>
              <w:rPr>
                <w:rFonts w:hint="eastAsia" w:ascii="Times New Roman" w:hAnsi="Times New Roman" w:eastAsia="宋体" w:cs="Times New Roman"/>
                <w:lang w:eastAsia="zh-CN"/>
              </w:rPr>
              <w:t>新加坡地区：个人保险；</w:t>
            </w:r>
          </w:p>
          <w:p>
            <w:pPr>
              <w:jc w:val="both"/>
              <w:rPr>
                <w:rFonts w:hint="eastAsia" w:ascii="Times New Roman" w:hAnsi="Times New Roman" w:eastAsia="宋体" w:cs="Times New Roman"/>
                <w:lang w:eastAsia="zh-CN"/>
              </w:rPr>
            </w:pPr>
            <w:r>
              <w:rPr>
                <w:rFonts w:hint="eastAsia" w:ascii="Times New Roman" w:hAnsi="Times New Roman" w:eastAsia="宋体" w:cs="Times New Roman"/>
                <w:lang w:eastAsia="zh-CN"/>
              </w:rPr>
              <w:t>印尼地区：个人保险、团体保险；</w:t>
            </w:r>
          </w:p>
        </w:tc>
      </w:tr>
    </w:tbl>
    <w:p>
      <w:pPr>
        <w:jc w:val="both"/>
        <w:rPr>
          <w:rFonts w:ascii="Times New Roman" w:hAnsi="Times New Roman" w:cs="Times New Roman"/>
          <w:lang w:val="en-US" w:eastAsia="zh-CN"/>
        </w:rPr>
      </w:pPr>
    </w:p>
    <w:p>
      <w:pPr>
        <w:pStyle w:val="10"/>
        <w:spacing w:after="0" w:line="240" w:lineRule="auto"/>
        <w:rPr>
          <w:b/>
          <w:bCs/>
          <w:sz w:val="22"/>
          <w:szCs w:val="22"/>
          <w:u w:val="single"/>
          <w:lang w:eastAsia="zh-TW"/>
        </w:rPr>
      </w:pPr>
      <w:r>
        <w:rPr>
          <w:rFonts w:hint="eastAsia"/>
          <w:b/>
          <w:bCs/>
          <w:sz w:val="22"/>
          <w:szCs w:val="22"/>
          <w:u w:val="single"/>
          <w:lang w:eastAsia="zh-CN"/>
        </w:rPr>
        <w:t>工作流一：合规评估</w:t>
      </w:r>
    </w:p>
    <w:p>
      <w:pPr>
        <w:pStyle w:val="10"/>
        <w:spacing w:after="0" w:line="240" w:lineRule="auto"/>
        <w:rPr>
          <w:sz w:val="22"/>
          <w:szCs w:val="22"/>
          <w:lang w:eastAsia="zh-TW"/>
        </w:rPr>
      </w:pPr>
    </w:p>
    <w:p>
      <w:pPr>
        <w:pStyle w:val="10"/>
        <w:spacing w:line="240" w:lineRule="auto"/>
        <w:rPr>
          <w:rFonts w:eastAsiaTheme="minorEastAsia"/>
          <w:sz w:val="22"/>
          <w:szCs w:val="22"/>
          <w:lang w:eastAsia="zh-CN"/>
        </w:rPr>
      </w:pPr>
      <w:r>
        <w:rPr>
          <w:rFonts w:hint="eastAsia"/>
          <w:sz w:val="22"/>
          <w:szCs w:val="22"/>
          <w:lang w:eastAsia="zh-CN"/>
        </w:rPr>
        <w:t>根据各地区保险监管机构及相关合规要求，对所述工作范围内的系统的云部署项目提供独立评估和监管报告准备服务。评估工作需至少涵盖以下监管法规要求：</w:t>
      </w:r>
    </w:p>
    <w:p>
      <w:pPr>
        <w:pStyle w:val="10"/>
        <w:spacing w:after="0" w:line="240" w:lineRule="auto"/>
        <w:rPr>
          <w:sz w:val="22"/>
          <w:szCs w:val="22"/>
          <w:lang w:eastAsia="zh-CN"/>
        </w:rPr>
      </w:pPr>
      <w:r>
        <w:rPr>
          <w:rFonts w:hint="eastAsia"/>
          <w:sz w:val="22"/>
          <w:szCs w:val="22"/>
          <w:lang w:eastAsia="zh-CN"/>
        </w:rPr>
        <w:t>中国香港</w:t>
      </w:r>
    </w:p>
    <w:p>
      <w:pPr>
        <w:pStyle w:val="10"/>
        <w:numPr>
          <w:ilvl w:val="0"/>
          <w:numId w:val="4"/>
        </w:numPr>
        <w:spacing w:after="0" w:line="240" w:lineRule="auto"/>
        <w:rPr>
          <w:sz w:val="22"/>
          <w:szCs w:val="22"/>
          <w:lang w:eastAsia="zh-CN"/>
        </w:rPr>
      </w:pPr>
      <w:r>
        <w:rPr>
          <w:rFonts w:hint="eastAsia"/>
          <w:sz w:val="22"/>
          <w:szCs w:val="22"/>
          <w:lang w:eastAsia="zh-CN"/>
        </w:rPr>
        <w:t>香港保险业监管局网上保险活动指引</w:t>
      </w:r>
      <w:r>
        <w:rPr>
          <w:sz w:val="22"/>
          <w:szCs w:val="22"/>
          <w:lang w:eastAsia="zh-CN"/>
        </w:rPr>
        <w:t>(</w:t>
      </w:r>
      <w:r>
        <w:rPr>
          <w:rFonts w:hint="eastAsia"/>
          <w:sz w:val="22"/>
          <w:szCs w:val="22"/>
          <w:lang w:eastAsia="zh-CN"/>
        </w:rPr>
        <w:t>指引</w:t>
      </w:r>
      <w:r>
        <w:rPr>
          <w:sz w:val="22"/>
          <w:szCs w:val="22"/>
          <w:lang w:eastAsia="zh-CN"/>
        </w:rPr>
        <w:t>8)</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香港保险业监管局外判指引</w:t>
      </w:r>
      <w:r>
        <w:rPr>
          <w:sz w:val="22"/>
          <w:szCs w:val="22"/>
          <w:lang w:eastAsia="zh-CN"/>
        </w:rPr>
        <w:t xml:space="preserve"> (</w:t>
      </w:r>
      <w:r>
        <w:rPr>
          <w:rFonts w:hint="eastAsia"/>
          <w:sz w:val="22"/>
          <w:szCs w:val="22"/>
          <w:lang w:eastAsia="zh-CN"/>
        </w:rPr>
        <w:t>指引</w:t>
      </w:r>
      <w:r>
        <w:rPr>
          <w:sz w:val="22"/>
          <w:szCs w:val="22"/>
          <w:lang w:eastAsia="zh-CN"/>
        </w:rPr>
        <w:t>14)</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香港保险业监管局网络安全指引（指引</w:t>
      </w:r>
      <w:r>
        <w:rPr>
          <w:sz w:val="22"/>
          <w:szCs w:val="22"/>
          <w:lang w:eastAsia="zh-CN"/>
        </w:rPr>
        <w:t>20</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香港保险业监管局企业风险</w:t>
      </w:r>
      <w:r>
        <w:rPr>
          <w:sz w:val="22"/>
          <w:szCs w:val="22"/>
          <w:lang w:eastAsia="zh-CN"/>
        </w:rPr>
        <w:t>管理</w:t>
      </w:r>
      <w:r>
        <w:rPr>
          <w:rFonts w:hint="eastAsia"/>
          <w:sz w:val="22"/>
          <w:szCs w:val="22"/>
          <w:lang w:eastAsia="zh-CN"/>
        </w:rPr>
        <w:t>指引</w:t>
      </w:r>
      <w:r>
        <w:rPr>
          <w:sz w:val="22"/>
          <w:szCs w:val="22"/>
          <w:lang w:eastAsia="zh-CN"/>
        </w:rPr>
        <w:t xml:space="preserve"> (</w:t>
      </w:r>
      <w:r>
        <w:rPr>
          <w:rFonts w:hint="eastAsia"/>
          <w:sz w:val="22"/>
          <w:szCs w:val="22"/>
          <w:lang w:eastAsia="zh-CN"/>
        </w:rPr>
        <w:t>指引</w:t>
      </w:r>
      <w:r>
        <w:rPr>
          <w:sz w:val="22"/>
          <w:szCs w:val="22"/>
          <w:lang w:eastAsia="zh-CN"/>
        </w:rPr>
        <w:t>21)</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val="en-US" w:eastAsia="zh-CN"/>
        </w:rPr>
        <w:t>等</w:t>
      </w:r>
    </w:p>
    <w:p>
      <w:pPr>
        <w:pStyle w:val="10"/>
        <w:spacing w:after="0" w:line="240" w:lineRule="auto"/>
        <w:ind w:left="720"/>
        <w:rPr>
          <w:sz w:val="22"/>
          <w:szCs w:val="22"/>
          <w:lang w:eastAsia="zh-CN"/>
        </w:rPr>
      </w:pPr>
    </w:p>
    <w:p>
      <w:pPr>
        <w:pStyle w:val="10"/>
        <w:spacing w:line="240" w:lineRule="auto"/>
        <w:rPr>
          <w:rFonts w:eastAsiaTheme="minorEastAsia"/>
          <w:sz w:val="22"/>
          <w:szCs w:val="22"/>
          <w:lang w:eastAsia="zh-TW"/>
        </w:rPr>
      </w:pPr>
      <w:r>
        <w:rPr>
          <w:rFonts w:hint="eastAsia"/>
          <w:sz w:val="22"/>
          <w:szCs w:val="22"/>
          <w:lang w:eastAsia="zh-CN"/>
        </w:rPr>
        <w:t>中国澳门</w:t>
      </w:r>
    </w:p>
    <w:p>
      <w:pPr>
        <w:pStyle w:val="10"/>
        <w:numPr>
          <w:ilvl w:val="0"/>
          <w:numId w:val="4"/>
        </w:numPr>
        <w:spacing w:after="0" w:line="240" w:lineRule="auto"/>
        <w:rPr>
          <w:sz w:val="22"/>
          <w:szCs w:val="22"/>
          <w:lang w:eastAsia="zh-CN"/>
        </w:rPr>
      </w:pPr>
      <w:r>
        <w:rPr>
          <w:rFonts w:hint="eastAsia"/>
          <w:sz w:val="22"/>
          <w:szCs w:val="22"/>
          <w:lang w:eastAsia="zh-CN"/>
        </w:rPr>
        <w:t>澳门特别行政区个人资料保护法（第</w:t>
      </w:r>
      <w:r>
        <w:rPr>
          <w:sz w:val="22"/>
          <w:szCs w:val="22"/>
          <w:lang w:eastAsia="zh-CN"/>
        </w:rPr>
        <w:t>8/2005</w:t>
      </w:r>
      <w:r>
        <w:rPr>
          <w:rFonts w:hint="eastAsia"/>
          <w:sz w:val="22"/>
          <w:szCs w:val="22"/>
          <w:lang w:eastAsia="zh-CN"/>
        </w:rPr>
        <w:t>号法律）；</w:t>
      </w:r>
    </w:p>
    <w:p>
      <w:pPr>
        <w:pStyle w:val="10"/>
        <w:numPr>
          <w:ilvl w:val="0"/>
          <w:numId w:val="4"/>
        </w:numPr>
        <w:spacing w:after="0" w:line="240" w:lineRule="auto"/>
        <w:rPr>
          <w:sz w:val="22"/>
          <w:szCs w:val="22"/>
          <w:lang w:eastAsia="zh-CN"/>
        </w:rPr>
      </w:pPr>
      <w:r>
        <w:rPr>
          <w:rFonts w:hint="eastAsia"/>
          <w:sz w:val="22"/>
          <w:szCs w:val="22"/>
          <w:lang w:eastAsia="zh-CN"/>
        </w:rPr>
        <w:t>澳门特别行政区网络</w:t>
      </w:r>
      <w:r>
        <w:rPr>
          <w:sz w:val="22"/>
          <w:szCs w:val="22"/>
          <w:lang w:eastAsia="zh-CN"/>
        </w:rPr>
        <w:t>安全法（</w:t>
      </w:r>
      <w:r>
        <w:rPr>
          <w:rFonts w:hint="eastAsia"/>
          <w:sz w:val="22"/>
          <w:szCs w:val="22"/>
          <w:lang w:eastAsia="zh-CN"/>
        </w:rPr>
        <w:t>第</w:t>
      </w:r>
      <w:r>
        <w:rPr>
          <w:sz w:val="22"/>
          <w:szCs w:val="22"/>
          <w:lang w:eastAsia="zh-CN"/>
        </w:rPr>
        <w:t>13/2019</w:t>
      </w:r>
      <w:r>
        <w:rPr>
          <w:rFonts w:hint="eastAsia"/>
          <w:sz w:val="22"/>
          <w:szCs w:val="22"/>
          <w:lang w:eastAsia="zh-CN"/>
        </w:rPr>
        <w:t>号法律</w:t>
      </w:r>
      <w:r>
        <w:rPr>
          <w:sz w:val="22"/>
          <w:szCs w:val="22"/>
          <w:lang w:eastAsia="zh-CN"/>
        </w:rPr>
        <w:t>）</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澳门金融管理局信用机构内部控制指引（传阅文件</w:t>
      </w:r>
      <w:r>
        <w:rPr>
          <w:sz w:val="22"/>
          <w:szCs w:val="22"/>
          <w:lang w:eastAsia="zh-CN"/>
        </w:rPr>
        <w:t>169/B/2002-DSB/AMCM</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澳门金融管理局外判管理指引（传阅文件</w:t>
      </w:r>
      <w:r>
        <w:rPr>
          <w:sz w:val="22"/>
          <w:szCs w:val="22"/>
          <w:lang w:eastAsia="zh-CN"/>
        </w:rPr>
        <w:t xml:space="preserve"> 032/B/2009-DSB/AMCM</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澳门金融管理局业务持续管理指引（传阅文件</w:t>
      </w:r>
      <w:r>
        <w:rPr>
          <w:sz w:val="22"/>
          <w:szCs w:val="22"/>
          <w:lang w:eastAsia="zh-CN"/>
        </w:rPr>
        <w:t>033/B/2009-DSB/AMCM</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澳门金融管理局重大事故应急通报措施（传阅文件</w:t>
      </w:r>
      <w:r>
        <w:rPr>
          <w:sz w:val="22"/>
          <w:szCs w:val="22"/>
          <w:lang w:eastAsia="zh-CN"/>
        </w:rPr>
        <w:t>012/B/2016-DSB/AMCM</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澳门金融管理局保险业网络安全管理指引（传阅文件</w:t>
      </w:r>
      <w:r>
        <w:rPr>
          <w:sz w:val="22"/>
          <w:szCs w:val="22"/>
          <w:lang w:eastAsia="zh-CN"/>
        </w:rPr>
        <w:t>015/B/2019-DSG/AMCM</w:t>
      </w:r>
      <w:r>
        <w:rPr>
          <w:rFonts w:hint="eastAsia"/>
          <w:sz w:val="22"/>
          <w:szCs w:val="22"/>
          <w:lang w:eastAsia="zh-CN"/>
        </w:rPr>
        <w:t>）</w:t>
      </w:r>
      <w:r>
        <w:rPr>
          <w:rFonts w:hint="eastAsia"/>
          <w:sz w:val="22"/>
          <w:szCs w:val="22"/>
          <w:lang w:val="en-US" w:eastAsia="zh-CN"/>
        </w:rPr>
        <w:t>;</w:t>
      </w:r>
    </w:p>
    <w:p>
      <w:pPr>
        <w:pStyle w:val="10"/>
        <w:numPr>
          <w:ilvl w:val="0"/>
          <w:numId w:val="4"/>
        </w:numPr>
        <w:spacing w:after="0" w:line="240" w:lineRule="auto"/>
        <w:rPr>
          <w:sz w:val="22"/>
          <w:szCs w:val="22"/>
          <w:lang w:eastAsia="zh-CN"/>
        </w:rPr>
      </w:pPr>
      <w:r>
        <w:rPr>
          <w:rFonts w:hint="eastAsia"/>
          <w:sz w:val="22"/>
          <w:szCs w:val="22"/>
          <w:lang w:val="en-US" w:eastAsia="zh-CN"/>
        </w:rPr>
        <w:t>等。</w:t>
      </w:r>
    </w:p>
    <w:p>
      <w:pPr>
        <w:pStyle w:val="10"/>
        <w:spacing w:after="0" w:line="240" w:lineRule="auto"/>
        <w:rPr>
          <w:sz w:val="22"/>
          <w:szCs w:val="22"/>
          <w:lang w:eastAsia="zh-CN"/>
        </w:rPr>
      </w:pPr>
    </w:p>
    <w:p>
      <w:pPr>
        <w:pStyle w:val="10"/>
        <w:spacing w:after="0" w:line="240" w:lineRule="auto"/>
        <w:rPr>
          <w:rFonts w:eastAsiaTheme="minorEastAsia"/>
          <w:sz w:val="22"/>
          <w:szCs w:val="22"/>
          <w:lang w:eastAsia="zh-TW"/>
        </w:rPr>
      </w:pPr>
      <w:r>
        <w:rPr>
          <w:rFonts w:hint="eastAsia"/>
          <w:sz w:val="22"/>
          <w:szCs w:val="22"/>
          <w:lang w:eastAsia="zh-CN"/>
        </w:rPr>
        <w:t>新加坡</w:t>
      </w:r>
    </w:p>
    <w:p>
      <w:pPr>
        <w:pStyle w:val="10"/>
        <w:numPr>
          <w:ilvl w:val="0"/>
          <w:numId w:val="5"/>
        </w:numPr>
        <w:spacing w:after="0" w:line="240" w:lineRule="auto"/>
        <w:rPr>
          <w:rFonts w:eastAsiaTheme="minorEastAsia"/>
          <w:sz w:val="22"/>
          <w:szCs w:val="22"/>
          <w:lang w:eastAsia="zh-TW"/>
        </w:rPr>
      </w:pPr>
      <w:r>
        <w:rPr>
          <w:sz w:val="22"/>
          <w:szCs w:val="22"/>
          <w:lang w:eastAsia="zh-CN"/>
        </w:rPr>
        <w:t>MAS/TCRS/2021/03: Advisory on Addressing the Technology and Cyber Security Risks Associated with Public Cloud Adoption;</w:t>
      </w:r>
    </w:p>
    <w:p>
      <w:pPr>
        <w:pStyle w:val="10"/>
        <w:numPr>
          <w:ilvl w:val="0"/>
          <w:numId w:val="5"/>
        </w:numPr>
        <w:spacing w:after="0" w:line="240" w:lineRule="auto"/>
        <w:rPr>
          <w:rFonts w:eastAsiaTheme="minorEastAsia"/>
          <w:sz w:val="22"/>
          <w:szCs w:val="22"/>
          <w:lang w:eastAsia="zh-TW"/>
        </w:rPr>
      </w:pPr>
      <w:r>
        <w:rPr>
          <w:sz w:val="22"/>
          <w:szCs w:val="22"/>
          <w:lang w:eastAsia="zh-CN"/>
        </w:rPr>
        <w:t>MAS Notices on Cyber Hygiene;</w:t>
      </w:r>
    </w:p>
    <w:p>
      <w:pPr>
        <w:pStyle w:val="10"/>
        <w:numPr>
          <w:ilvl w:val="0"/>
          <w:numId w:val="5"/>
        </w:numPr>
        <w:spacing w:after="0" w:line="240" w:lineRule="auto"/>
        <w:rPr>
          <w:rFonts w:eastAsiaTheme="minorEastAsia"/>
          <w:sz w:val="22"/>
          <w:szCs w:val="22"/>
          <w:lang w:eastAsia="zh-TW"/>
        </w:rPr>
      </w:pPr>
      <w:r>
        <w:rPr>
          <w:sz w:val="22"/>
          <w:szCs w:val="22"/>
          <w:lang w:eastAsia="zh-CN"/>
        </w:rPr>
        <w:t>MAS Guidelines on Risk Management Practices – Technology Risk;</w:t>
      </w:r>
    </w:p>
    <w:p>
      <w:pPr>
        <w:pStyle w:val="10"/>
        <w:numPr>
          <w:ilvl w:val="0"/>
          <w:numId w:val="5"/>
        </w:numPr>
        <w:spacing w:after="0" w:line="240" w:lineRule="auto"/>
        <w:rPr>
          <w:rFonts w:eastAsiaTheme="minorEastAsia"/>
          <w:sz w:val="22"/>
          <w:szCs w:val="22"/>
          <w:lang w:eastAsia="zh-TW"/>
        </w:rPr>
      </w:pPr>
      <w:r>
        <w:rPr>
          <w:sz w:val="22"/>
          <w:szCs w:val="22"/>
          <w:lang w:eastAsia="zh-CN"/>
        </w:rPr>
        <w:t>MAS Notices on Technology Risk Management;</w:t>
      </w:r>
    </w:p>
    <w:p>
      <w:pPr>
        <w:pStyle w:val="10"/>
        <w:numPr>
          <w:ilvl w:val="0"/>
          <w:numId w:val="5"/>
        </w:numPr>
        <w:spacing w:after="0" w:line="240" w:lineRule="auto"/>
        <w:rPr>
          <w:rFonts w:eastAsiaTheme="minorEastAsia"/>
          <w:sz w:val="22"/>
          <w:szCs w:val="22"/>
          <w:lang w:eastAsia="zh-TW"/>
        </w:rPr>
      </w:pPr>
      <w:r>
        <w:rPr>
          <w:sz w:val="22"/>
          <w:szCs w:val="22"/>
          <w:lang w:eastAsia="zh-CN"/>
        </w:rPr>
        <w:t>MAS Guidelines on Outsourcing;</w:t>
      </w:r>
    </w:p>
    <w:p>
      <w:pPr>
        <w:pStyle w:val="10"/>
        <w:numPr>
          <w:ilvl w:val="0"/>
          <w:numId w:val="5"/>
        </w:numPr>
        <w:spacing w:after="0" w:line="240" w:lineRule="auto"/>
        <w:rPr>
          <w:rFonts w:eastAsiaTheme="minorEastAsia"/>
          <w:sz w:val="22"/>
          <w:szCs w:val="22"/>
          <w:lang w:eastAsia="zh-TW"/>
        </w:rPr>
      </w:pPr>
      <w:r>
        <w:rPr>
          <w:sz w:val="22"/>
          <w:szCs w:val="22"/>
          <w:lang w:eastAsia="zh-CN"/>
        </w:rPr>
        <w:t>MAS Notice on Outsourcing;</w:t>
      </w:r>
    </w:p>
    <w:p>
      <w:pPr>
        <w:pStyle w:val="10"/>
        <w:numPr>
          <w:ilvl w:val="0"/>
          <w:numId w:val="5"/>
        </w:numPr>
        <w:spacing w:after="0" w:line="240" w:lineRule="auto"/>
        <w:rPr>
          <w:rFonts w:eastAsiaTheme="minorEastAsia"/>
          <w:sz w:val="22"/>
          <w:szCs w:val="22"/>
          <w:lang w:eastAsia="zh-TW"/>
        </w:rPr>
      </w:pPr>
      <w:r>
        <w:rPr>
          <w:rFonts w:eastAsiaTheme="minorEastAsia"/>
          <w:sz w:val="22"/>
          <w:szCs w:val="22"/>
          <w:lang w:eastAsia="zh-TW"/>
        </w:rPr>
        <w:t>MAS Notice 634 Banking Secrecy – Conditions for Outsourcing;</w:t>
      </w:r>
    </w:p>
    <w:p>
      <w:pPr>
        <w:pStyle w:val="10"/>
        <w:numPr>
          <w:ilvl w:val="0"/>
          <w:numId w:val="5"/>
        </w:numPr>
        <w:spacing w:after="0" w:line="240" w:lineRule="auto"/>
        <w:rPr>
          <w:rFonts w:eastAsiaTheme="minorEastAsia"/>
          <w:sz w:val="22"/>
          <w:szCs w:val="22"/>
          <w:lang w:eastAsia="zh-TW"/>
        </w:rPr>
      </w:pPr>
      <w:r>
        <w:rPr>
          <w:sz w:val="22"/>
          <w:szCs w:val="22"/>
          <w:lang w:eastAsia="zh-CN"/>
        </w:rPr>
        <w:t>MAS Guidelines on Business Continuity Management;</w:t>
      </w:r>
    </w:p>
    <w:p>
      <w:pPr>
        <w:pStyle w:val="10"/>
        <w:numPr>
          <w:ilvl w:val="0"/>
          <w:numId w:val="5"/>
        </w:numPr>
        <w:spacing w:after="0" w:line="240" w:lineRule="auto"/>
        <w:rPr>
          <w:rFonts w:eastAsiaTheme="minorEastAsia"/>
          <w:sz w:val="22"/>
          <w:szCs w:val="22"/>
          <w:lang w:eastAsia="zh-TW"/>
        </w:rPr>
      </w:pPr>
      <w:r>
        <w:rPr>
          <w:sz w:val="22"/>
          <w:szCs w:val="22"/>
          <w:lang w:eastAsia="zh-CN"/>
        </w:rPr>
        <w:t>MAS Notice 126 Enterprise Risk Management (“ERM”) for Insurers</w:t>
      </w:r>
      <w:r>
        <w:rPr>
          <w:rFonts w:hint="eastAsia"/>
          <w:sz w:val="22"/>
          <w:szCs w:val="22"/>
          <w:lang w:eastAsia="zh-CN"/>
        </w:rPr>
        <w:t>；</w:t>
      </w:r>
    </w:p>
    <w:p>
      <w:pPr>
        <w:pStyle w:val="10"/>
        <w:numPr>
          <w:ilvl w:val="0"/>
          <w:numId w:val="5"/>
        </w:numPr>
        <w:spacing w:after="0" w:line="240" w:lineRule="auto"/>
        <w:rPr>
          <w:rFonts w:eastAsiaTheme="minorEastAsia"/>
          <w:sz w:val="22"/>
          <w:szCs w:val="22"/>
          <w:lang w:eastAsia="zh-TW"/>
        </w:rPr>
      </w:pPr>
      <w:r>
        <w:rPr>
          <w:rFonts w:hint="eastAsia"/>
          <w:sz w:val="22"/>
          <w:szCs w:val="22"/>
          <w:lang w:val="en-US" w:eastAsia="zh-CN"/>
        </w:rPr>
        <w:t>等</w:t>
      </w:r>
    </w:p>
    <w:p>
      <w:pPr>
        <w:pStyle w:val="10"/>
        <w:spacing w:after="0" w:line="240" w:lineRule="auto"/>
        <w:rPr>
          <w:rFonts w:eastAsiaTheme="minorEastAsia"/>
          <w:sz w:val="22"/>
          <w:szCs w:val="22"/>
          <w:lang w:eastAsia="zh-TW"/>
        </w:rPr>
      </w:pPr>
    </w:p>
    <w:p>
      <w:pPr>
        <w:pStyle w:val="10"/>
        <w:spacing w:after="0" w:line="240" w:lineRule="auto"/>
        <w:rPr>
          <w:rFonts w:eastAsiaTheme="minorEastAsia"/>
          <w:sz w:val="22"/>
          <w:szCs w:val="22"/>
          <w:lang w:eastAsia="zh-TW"/>
        </w:rPr>
      </w:pPr>
      <w:r>
        <w:rPr>
          <w:rFonts w:hint="eastAsia"/>
          <w:sz w:val="22"/>
          <w:szCs w:val="22"/>
          <w:lang w:eastAsia="zh-CN"/>
        </w:rPr>
        <w:t>印度尼西亚</w:t>
      </w:r>
    </w:p>
    <w:p>
      <w:pPr>
        <w:pStyle w:val="10"/>
        <w:numPr>
          <w:ilvl w:val="0"/>
          <w:numId w:val="5"/>
        </w:numPr>
        <w:spacing w:after="0" w:line="240" w:lineRule="auto"/>
        <w:rPr>
          <w:sz w:val="22"/>
          <w:szCs w:val="22"/>
          <w:lang w:eastAsia="zh-CN"/>
        </w:rPr>
      </w:pPr>
      <w:r>
        <w:rPr>
          <w:sz w:val="22"/>
          <w:szCs w:val="22"/>
          <w:lang w:eastAsia="zh-CN"/>
        </w:rPr>
        <w:t>OJK Regulation No. 4/ POJK.05/2021 on the Implementation of Risk Management in the Use of Information Technology by Non-Bank Financial Services Institutions;</w:t>
      </w:r>
    </w:p>
    <w:p>
      <w:pPr>
        <w:pStyle w:val="10"/>
        <w:numPr>
          <w:ilvl w:val="0"/>
          <w:numId w:val="5"/>
        </w:numPr>
        <w:spacing w:after="0" w:line="240" w:lineRule="auto"/>
        <w:rPr>
          <w:sz w:val="22"/>
          <w:szCs w:val="22"/>
          <w:lang w:eastAsia="zh-CN"/>
        </w:rPr>
      </w:pPr>
      <w:r>
        <w:rPr>
          <w:sz w:val="22"/>
          <w:szCs w:val="22"/>
          <w:lang w:eastAsia="zh-CN"/>
        </w:rPr>
        <w:t>OJK Circular Letter No. 9/SEOJK.05/2021 on Form and Composition of Periodic Reports of Insurance Companies and Reinsurance Companies;</w:t>
      </w:r>
    </w:p>
    <w:p>
      <w:pPr>
        <w:pStyle w:val="10"/>
        <w:numPr>
          <w:ilvl w:val="0"/>
          <w:numId w:val="5"/>
        </w:numPr>
        <w:spacing w:after="0" w:line="240" w:lineRule="auto"/>
        <w:rPr>
          <w:sz w:val="22"/>
          <w:szCs w:val="22"/>
          <w:lang w:eastAsia="zh-CN"/>
        </w:rPr>
      </w:pPr>
      <w:r>
        <w:rPr>
          <w:sz w:val="22"/>
          <w:szCs w:val="22"/>
          <w:lang w:eastAsia="zh-CN"/>
        </w:rPr>
        <w:t>OJK Circular Letter No. 4/SEOJK.05/2020 on Business Plan for Insurance Companies;</w:t>
      </w:r>
    </w:p>
    <w:p>
      <w:pPr>
        <w:pStyle w:val="10"/>
        <w:numPr>
          <w:ilvl w:val="0"/>
          <w:numId w:val="5"/>
        </w:numPr>
        <w:spacing w:after="0" w:line="240" w:lineRule="auto"/>
        <w:rPr>
          <w:sz w:val="22"/>
          <w:szCs w:val="22"/>
          <w:lang w:eastAsia="zh-CN"/>
        </w:rPr>
      </w:pPr>
      <w:r>
        <w:rPr>
          <w:rFonts w:hint="eastAsia"/>
          <w:sz w:val="22"/>
          <w:szCs w:val="22"/>
          <w:lang w:val="en-US" w:eastAsia="zh-CN"/>
        </w:rPr>
        <w:t>等</w:t>
      </w:r>
    </w:p>
    <w:p>
      <w:pPr>
        <w:pStyle w:val="10"/>
        <w:spacing w:after="0" w:line="240" w:lineRule="auto"/>
        <w:ind w:left="720"/>
        <w:rPr>
          <w:sz w:val="22"/>
          <w:szCs w:val="22"/>
          <w:lang w:eastAsia="zh-CN"/>
        </w:rPr>
      </w:pPr>
    </w:p>
    <w:p>
      <w:pPr>
        <w:pStyle w:val="10"/>
        <w:spacing w:line="240" w:lineRule="auto"/>
        <w:rPr>
          <w:sz w:val="22"/>
          <w:szCs w:val="22"/>
          <w:lang w:eastAsia="zh-CN"/>
        </w:rPr>
      </w:pPr>
      <w:r>
        <w:rPr>
          <w:rFonts w:hint="eastAsia"/>
          <w:sz w:val="22"/>
          <w:szCs w:val="22"/>
          <w:lang w:eastAsia="zh-CN"/>
        </w:rPr>
        <w:t>投标者应基于以上提及的保险监管局相应的监管法规要求，以及根据投标者以往的成功经验，制定一个合适的综合分析评估的框架。</w:t>
      </w:r>
    </w:p>
    <w:p>
      <w:pPr>
        <w:pStyle w:val="10"/>
        <w:spacing w:line="240" w:lineRule="auto"/>
        <w:rPr>
          <w:sz w:val="22"/>
          <w:szCs w:val="22"/>
          <w:lang w:eastAsia="zh-CN"/>
        </w:rPr>
      </w:pPr>
      <w:r>
        <w:rPr>
          <w:rFonts w:hint="eastAsia"/>
          <w:sz w:val="22"/>
          <w:szCs w:val="22"/>
          <w:lang w:eastAsia="zh-CN"/>
        </w:rPr>
        <w:t>就以上独立评估结果，投标者需提供相应改进建议，并跟进改进措施落地，以确保项目符合相关地区监管法规要求。投标者需根据监管要求提供相应的合规申报材料，辅助招标方完成合规申报和获批。</w:t>
      </w:r>
    </w:p>
    <w:p>
      <w:pPr>
        <w:pStyle w:val="10"/>
        <w:spacing w:after="0" w:line="240" w:lineRule="auto"/>
        <w:rPr>
          <w:sz w:val="22"/>
          <w:szCs w:val="22"/>
          <w:lang w:val="en-US" w:eastAsia="zh-CN"/>
        </w:rPr>
      </w:pPr>
    </w:p>
    <w:p>
      <w:pPr>
        <w:pStyle w:val="10"/>
        <w:spacing w:after="0" w:line="240" w:lineRule="auto"/>
        <w:rPr>
          <w:b/>
          <w:bCs/>
          <w:sz w:val="22"/>
          <w:szCs w:val="22"/>
          <w:lang w:eastAsia="zh-CN"/>
        </w:rPr>
      </w:pPr>
      <w:r>
        <w:rPr>
          <w:rFonts w:hint="eastAsia"/>
          <w:b/>
          <w:bCs/>
          <w:sz w:val="22"/>
          <w:szCs w:val="22"/>
          <w:lang w:eastAsia="zh-CN"/>
        </w:rPr>
        <w:t>工作流二：</w:t>
      </w:r>
      <w:r>
        <w:rPr>
          <w:b/>
          <w:bCs/>
          <w:sz w:val="22"/>
          <w:szCs w:val="22"/>
          <w:lang w:eastAsia="zh-CN"/>
        </w:rPr>
        <w:t xml:space="preserve">  </w:t>
      </w:r>
      <w:r>
        <w:rPr>
          <w:rFonts w:hint="eastAsia"/>
          <w:b/>
          <w:bCs/>
          <w:sz w:val="22"/>
          <w:szCs w:val="22"/>
          <w:lang w:eastAsia="zh-CN"/>
        </w:rPr>
        <w:t>云端部署技术评估</w:t>
      </w:r>
    </w:p>
    <w:p>
      <w:pPr>
        <w:pStyle w:val="10"/>
        <w:spacing w:after="0" w:line="240" w:lineRule="auto"/>
        <w:rPr>
          <w:b/>
          <w:bCs/>
          <w:sz w:val="22"/>
          <w:szCs w:val="22"/>
          <w:lang w:eastAsia="zh-CN"/>
        </w:rPr>
      </w:pPr>
    </w:p>
    <w:p>
      <w:pPr>
        <w:pStyle w:val="10"/>
        <w:numPr>
          <w:ilvl w:val="0"/>
          <w:numId w:val="6"/>
        </w:numPr>
        <w:spacing w:after="0" w:line="240" w:lineRule="auto"/>
        <w:rPr>
          <w:sz w:val="22"/>
          <w:szCs w:val="22"/>
          <w:u w:val="single"/>
          <w:lang w:eastAsia="zh-TW"/>
        </w:rPr>
      </w:pPr>
      <w:r>
        <w:rPr>
          <w:rFonts w:hint="eastAsia"/>
          <w:sz w:val="22"/>
          <w:szCs w:val="22"/>
          <w:u w:val="single"/>
          <w:lang w:eastAsia="zh-CN"/>
        </w:rPr>
        <w:t>实施前阶段</w:t>
      </w:r>
    </w:p>
    <w:p>
      <w:pPr>
        <w:pStyle w:val="10"/>
        <w:spacing w:after="0" w:line="240" w:lineRule="auto"/>
        <w:rPr>
          <w:b/>
          <w:bCs/>
          <w:sz w:val="22"/>
          <w:szCs w:val="22"/>
          <w:lang w:eastAsia="zh-TW"/>
        </w:rPr>
      </w:pPr>
    </w:p>
    <w:p>
      <w:pPr>
        <w:pStyle w:val="10"/>
        <w:spacing w:after="0" w:line="240" w:lineRule="auto"/>
        <w:rPr>
          <w:sz w:val="22"/>
          <w:szCs w:val="22"/>
          <w:lang w:eastAsia="zh-CN"/>
        </w:rPr>
      </w:pPr>
      <w:r>
        <w:rPr>
          <w:rFonts w:hint="eastAsia"/>
          <w:sz w:val="22"/>
          <w:szCs w:val="22"/>
          <w:lang w:eastAsia="zh-CN"/>
        </w:rPr>
        <w:t>对以下信息进行评估，包括：系统设计文件，系统测试文件，项目计划和范围，时间表文件，应用程序列表，当前</w:t>
      </w:r>
      <w:r>
        <w:rPr>
          <w:sz w:val="22"/>
          <w:szCs w:val="22"/>
          <w:lang w:eastAsia="zh-CN"/>
        </w:rPr>
        <w:t>IT</w:t>
      </w:r>
      <w:r>
        <w:rPr>
          <w:rFonts w:hint="eastAsia"/>
          <w:sz w:val="22"/>
          <w:szCs w:val="22"/>
          <w:lang w:eastAsia="zh-CN"/>
        </w:rPr>
        <w:t>资产和流程，将要部署到云端的应用程序列表。</w:t>
      </w:r>
    </w:p>
    <w:p>
      <w:pPr>
        <w:pStyle w:val="10"/>
        <w:spacing w:after="0" w:line="240" w:lineRule="auto"/>
        <w:rPr>
          <w:sz w:val="22"/>
          <w:szCs w:val="22"/>
          <w:lang w:eastAsia="zh-CN"/>
        </w:rPr>
      </w:pPr>
    </w:p>
    <w:p>
      <w:pPr>
        <w:pStyle w:val="10"/>
        <w:spacing w:after="0" w:line="240" w:lineRule="auto"/>
        <w:rPr>
          <w:sz w:val="22"/>
          <w:szCs w:val="22"/>
          <w:lang w:eastAsia="zh-CN"/>
        </w:rPr>
      </w:pPr>
      <w:r>
        <w:rPr>
          <w:rFonts w:hint="eastAsia"/>
          <w:sz w:val="22"/>
          <w:szCs w:val="22"/>
          <w:lang w:eastAsia="zh-CN"/>
        </w:rPr>
        <w:t>基于以下领域，找出差距并提供建议：</w:t>
      </w:r>
    </w:p>
    <w:p>
      <w:pPr>
        <w:pStyle w:val="10"/>
        <w:spacing w:after="0" w:line="240" w:lineRule="auto"/>
        <w:rPr>
          <w:sz w:val="22"/>
          <w:szCs w:val="22"/>
          <w:lang w:eastAsia="zh-CN"/>
        </w:rPr>
      </w:pPr>
    </w:p>
    <w:p>
      <w:pPr>
        <w:pStyle w:val="10"/>
        <w:numPr>
          <w:ilvl w:val="0"/>
          <w:numId w:val="7"/>
        </w:numPr>
        <w:spacing w:after="0" w:line="240" w:lineRule="auto"/>
        <w:rPr>
          <w:sz w:val="22"/>
          <w:szCs w:val="22"/>
          <w:lang w:eastAsia="zh-CN"/>
        </w:rPr>
      </w:pPr>
      <w:r>
        <w:rPr>
          <w:rFonts w:hint="eastAsia"/>
          <w:sz w:val="22"/>
          <w:szCs w:val="22"/>
          <w:lang w:eastAsia="zh-CN"/>
        </w:rPr>
        <w:t>技术要求–应用程序所需的虚拟化支持，应用程序的延迟敏感性，用户位置，所需架构和所需工作负载模式的实例类型；</w:t>
      </w:r>
    </w:p>
    <w:p>
      <w:pPr>
        <w:pStyle w:val="10"/>
        <w:numPr>
          <w:ilvl w:val="0"/>
          <w:numId w:val="7"/>
        </w:numPr>
        <w:spacing w:after="0" w:line="240" w:lineRule="auto"/>
        <w:rPr>
          <w:sz w:val="22"/>
          <w:szCs w:val="22"/>
          <w:lang w:eastAsia="zh-CN"/>
        </w:rPr>
      </w:pPr>
      <w:r>
        <w:rPr>
          <w:rFonts w:hint="eastAsia"/>
          <w:sz w:val="22"/>
          <w:szCs w:val="22"/>
          <w:lang w:eastAsia="zh-CN"/>
        </w:rPr>
        <w:t>应用程序依赖关系</w:t>
      </w:r>
      <w:r>
        <w:rPr>
          <w:sz w:val="22"/>
          <w:szCs w:val="22"/>
          <w:lang w:eastAsia="zh-CN"/>
        </w:rPr>
        <w:t xml:space="preserve"> - </w:t>
      </w:r>
      <w:r>
        <w:rPr>
          <w:rFonts w:hint="eastAsia"/>
          <w:sz w:val="22"/>
          <w:szCs w:val="22"/>
          <w:lang w:eastAsia="zh-CN"/>
        </w:rPr>
        <w:t>与系统中其他应用程序的相互依赖程度；</w:t>
      </w:r>
    </w:p>
    <w:p>
      <w:pPr>
        <w:pStyle w:val="10"/>
        <w:numPr>
          <w:ilvl w:val="0"/>
          <w:numId w:val="7"/>
        </w:numPr>
        <w:spacing w:after="0" w:line="240" w:lineRule="auto"/>
        <w:rPr>
          <w:sz w:val="22"/>
          <w:szCs w:val="22"/>
          <w:lang w:eastAsia="zh-CN"/>
        </w:rPr>
      </w:pPr>
      <w:r>
        <w:rPr>
          <w:rFonts w:hint="eastAsia"/>
          <w:sz w:val="22"/>
          <w:szCs w:val="22"/>
          <w:lang w:eastAsia="zh-CN"/>
        </w:rPr>
        <w:t>合规要求–对该应用实施的法律或行业实施合规标准；</w:t>
      </w:r>
    </w:p>
    <w:p>
      <w:pPr>
        <w:pStyle w:val="10"/>
        <w:numPr>
          <w:ilvl w:val="0"/>
          <w:numId w:val="7"/>
        </w:numPr>
        <w:spacing w:after="0" w:line="240" w:lineRule="auto"/>
        <w:rPr>
          <w:sz w:val="22"/>
          <w:szCs w:val="22"/>
          <w:lang w:eastAsia="zh-CN"/>
        </w:rPr>
      </w:pPr>
      <w:r>
        <w:rPr>
          <w:rFonts w:hint="eastAsia"/>
          <w:sz w:val="22"/>
          <w:szCs w:val="22"/>
          <w:lang w:eastAsia="zh-CN"/>
        </w:rPr>
        <w:t>标准要求–应用程序遵循的国际或行业标准；</w:t>
      </w:r>
    </w:p>
    <w:p>
      <w:pPr>
        <w:pStyle w:val="10"/>
        <w:numPr>
          <w:ilvl w:val="0"/>
          <w:numId w:val="7"/>
        </w:numPr>
        <w:spacing w:after="0" w:line="240" w:lineRule="auto"/>
        <w:rPr>
          <w:sz w:val="22"/>
          <w:szCs w:val="22"/>
          <w:lang w:eastAsia="zh-CN"/>
        </w:rPr>
      </w:pPr>
      <w:r>
        <w:rPr>
          <w:rFonts w:hint="eastAsia"/>
          <w:sz w:val="22"/>
          <w:szCs w:val="22"/>
          <w:lang w:eastAsia="zh-CN"/>
        </w:rPr>
        <w:t>数据治理–应用程序数据的控件类型；</w:t>
      </w:r>
    </w:p>
    <w:p>
      <w:pPr>
        <w:pStyle w:val="10"/>
        <w:numPr>
          <w:ilvl w:val="0"/>
          <w:numId w:val="7"/>
        </w:numPr>
        <w:spacing w:after="0" w:line="240" w:lineRule="auto"/>
        <w:rPr>
          <w:sz w:val="22"/>
          <w:szCs w:val="22"/>
          <w:lang w:eastAsia="zh-CN"/>
        </w:rPr>
      </w:pPr>
      <w:r>
        <w:rPr>
          <w:rFonts w:hint="eastAsia"/>
          <w:sz w:val="22"/>
          <w:szCs w:val="22"/>
          <w:lang w:eastAsia="zh-CN"/>
        </w:rPr>
        <w:t>信息安全–安全要求和所处理数据的敏感性；</w:t>
      </w:r>
    </w:p>
    <w:p>
      <w:pPr>
        <w:pStyle w:val="10"/>
        <w:numPr>
          <w:ilvl w:val="0"/>
          <w:numId w:val="7"/>
        </w:numPr>
        <w:spacing w:after="0" w:line="240" w:lineRule="auto"/>
        <w:rPr>
          <w:sz w:val="22"/>
          <w:szCs w:val="22"/>
          <w:lang w:eastAsia="zh-CN"/>
        </w:rPr>
      </w:pPr>
      <w:r>
        <w:rPr>
          <w:rFonts w:hint="eastAsia"/>
          <w:sz w:val="22"/>
          <w:szCs w:val="22"/>
          <w:lang w:eastAsia="zh-CN"/>
        </w:rPr>
        <w:t>业务连续性–业务影响水平和应用程序的连续性要求</w:t>
      </w:r>
      <w:r>
        <w:rPr>
          <w:rFonts w:hint="eastAsia"/>
          <w:sz w:val="22"/>
          <w:szCs w:val="22"/>
          <w:lang w:val="en-US" w:eastAsia="zh-CN"/>
        </w:rPr>
        <w:t>。</w:t>
      </w:r>
    </w:p>
    <w:p>
      <w:pPr>
        <w:pStyle w:val="10"/>
        <w:spacing w:after="0" w:line="240" w:lineRule="auto"/>
        <w:ind w:left="480"/>
        <w:rPr>
          <w:sz w:val="22"/>
          <w:szCs w:val="22"/>
          <w:lang w:eastAsia="zh-CN"/>
        </w:rPr>
      </w:pPr>
    </w:p>
    <w:p>
      <w:pPr>
        <w:pStyle w:val="10"/>
        <w:numPr>
          <w:ilvl w:val="0"/>
          <w:numId w:val="6"/>
        </w:numPr>
        <w:spacing w:after="0" w:line="240" w:lineRule="auto"/>
        <w:rPr>
          <w:sz w:val="22"/>
          <w:szCs w:val="22"/>
          <w:u w:val="single"/>
          <w:lang w:eastAsia="zh-TW"/>
        </w:rPr>
      </w:pPr>
      <w:r>
        <w:rPr>
          <w:rFonts w:hint="eastAsia"/>
          <w:sz w:val="22"/>
          <w:szCs w:val="22"/>
          <w:u w:val="single"/>
          <w:lang w:eastAsia="zh-CN"/>
        </w:rPr>
        <w:t>实施后阶段</w:t>
      </w:r>
    </w:p>
    <w:p>
      <w:pPr>
        <w:pStyle w:val="10"/>
        <w:spacing w:after="0" w:line="240" w:lineRule="auto"/>
        <w:rPr>
          <w:b/>
          <w:bCs/>
          <w:sz w:val="22"/>
          <w:szCs w:val="22"/>
          <w:lang w:eastAsia="zh-TW"/>
        </w:rPr>
      </w:pPr>
    </w:p>
    <w:p>
      <w:pPr>
        <w:pStyle w:val="10"/>
        <w:spacing w:after="0" w:line="240" w:lineRule="auto"/>
        <w:rPr>
          <w:sz w:val="22"/>
          <w:szCs w:val="22"/>
          <w:lang w:eastAsia="zh-CN"/>
        </w:rPr>
      </w:pPr>
      <w:r>
        <w:rPr>
          <w:rFonts w:hint="eastAsia"/>
          <w:sz w:val="22"/>
          <w:szCs w:val="22"/>
          <w:lang w:eastAsia="zh-CN"/>
        </w:rPr>
        <w:t>在部署后的状态下从云环境中收集信息，将部署中使用的系统设计和实现以及部署后遗留的问题作为输入，以查看相关环境的部署后状态。包括：</w:t>
      </w:r>
    </w:p>
    <w:p>
      <w:pPr>
        <w:pStyle w:val="10"/>
        <w:spacing w:after="0" w:line="240" w:lineRule="auto"/>
        <w:rPr>
          <w:sz w:val="22"/>
          <w:szCs w:val="22"/>
          <w:lang w:eastAsia="zh-CN"/>
        </w:rPr>
      </w:pPr>
    </w:p>
    <w:p>
      <w:pPr>
        <w:pStyle w:val="10"/>
        <w:numPr>
          <w:ilvl w:val="0"/>
          <w:numId w:val="8"/>
        </w:numPr>
        <w:spacing w:after="0" w:line="240" w:lineRule="auto"/>
        <w:rPr>
          <w:sz w:val="22"/>
          <w:szCs w:val="22"/>
          <w:lang w:eastAsia="zh-CN"/>
        </w:rPr>
      </w:pPr>
      <w:r>
        <w:rPr>
          <w:rFonts w:hint="eastAsia"/>
          <w:sz w:val="22"/>
          <w:szCs w:val="22"/>
          <w:lang w:eastAsia="zh-CN"/>
        </w:rPr>
        <w:t>评估数据验证和测试方法，包括部署项目中的测试案例和测试结果；</w:t>
      </w:r>
    </w:p>
    <w:p>
      <w:pPr>
        <w:pStyle w:val="10"/>
        <w:numPr>
          <w:ilvl w:val="0"/>
          <w:numId w:val="8"/>
        </w:numPr>
        <w:spacing w:after="0" w:line="240" w:lineRule="auto"/>
        <w:rPr>
          <w:sz w:val="22"/>
          <w:szCs w:val="22"/>
          <w:lang w:eastAsia="zh-CN"/>
        </w:rPr>
      </w:pPr>
      <w:r>
        <w:rPr>
          <w:rFonts w:hint="eastAsia"/>
          <w:sz w:val="22"/>
          <w:szCs w:val="22"/>
          <w:lang w:eastAsia="zh-CN"/>
        </w:rPr>
        <w:t>评估系统接口验证和测试方法；</w:t>
      </w:r>
    </w:p>
    <w:p>
      <w:pPr>
        <w:pStyle w:val="10"/>
        <w:numPr>
          <w:ilvl w:val="0"/>
          <w:numId w:val="8"/>
        </w:numPr>
        <w:spacing w:after="0" w:line="240" w:lineRule="auto"/>
        <w:rPr>
          <w:sz w:val="22"/>
          <w:szCs w:val="22"/>
          <w:lang w:eastAsia="zh-CN"/>
        </w:rPr>
      </w:pPr>
      <w:r>
        <w:rPr>
          <w:rFonts w:hint="eastAsia"/>
          <w:sz w:val="22"/>
          <w:szCs w:val="22"/>
          <w:lang w:eastAsia="zh-CN"/>
        </w:rPr>
        <w:t>了解云端设置，并基于以下领域为</w:t>
      </w:r>
      <w:r>
        <w:rPr>
          <w:lang w:eastAsia="zh-CN"/>
        </w:rPr>
        <w:t xml:space="preserve">OneContact </w:t>
      </w:r>
      <w:r>
        <w:rPr>
          <w:rFonts w:hint="eastAsia"/>
          <w:lang w:eastAsia="zh-CN"/>
        </w:rPr>
        <w:t>系统及云底座</w:t>
      </w:r>
      <w:r>
        <w:rPr>
          <w:rFonts w:hint="eastAsia"/>
          <w:sz w:val="22"/>
          <w:szCs w:val="22"/>
          <w:lang w:eastAsia="zh-CN"/>
        </w:rPr>
        <w:t>部署定制云端工作程序：</w:t>
      </w:r>
    </w:p>
    <w:p>
      <w:pPr>
        <w:pStyle w:val="10"/>
        <w:spacing w:after="0" w:line="240" w:lineRule="auto"/>
        <w:ind w:firstLine="660" w:firstLineChars="300"/>
        <w:rPr>
          <w:sz w:val="22"/>
          <w:szCs w:val="22"/>
          <w:lang w:eastAsia="zh-CN"/>
        </w:rPr>
      </w:pPr>
      <w:r>
        <w:rPr>
          <w:sz w:val="22"/>
          <w:szCs w:val="22"/>
          <w:lang w:eastAsia="zh-CN"/>
        </w:rPr>
        <w:t>-</w:t>
      </w:r>
      <w:r>
        <w:rPr>
          <w:rFonts w:hint="eastAsia"/>
          <w:sz w:val="22"/>
          <w:szCs w:val="22"/>
          <w:lang w:eastAsia="zh-CN"/>
        </w:rPr>
        <w:t>技术要求；</w:t>
      </w:r>
    </w:p>
    <w:p>
      <w:pPr>
        <w:pStyle w:val="10"/>
        <w:spacing w:after="0" w:line="240" w:lineRule="auto"/>
        <w:ind w:firstLine="660" w:firstLineChars="300"/>
        <w:rPr>
          <w:sz w:val="22"/>
          <w:szCs w:val="22"/>
          <w:lang w:eastAsia="zh-CN"/>
        </w:rPr>
      </w:pPr>
      <w:r>
        <w:rPr>
          <w:sz w:val="22"/>
          <w:szCs w:val="22"/>
          <w:lang w:eastAsia="zh-CN"/>
        </w:rPr>
        <w:t>-</w:t>
      </w:r>
      <w:r>
        <w:rPr>
          <w:rFonts w:hint="eastAsia"/>
          <w:sz w:val="22"/>
          <w:szCs w:val="22"/>
          <w:lang w:eastAsia="zh-CN"/>
        </w:rPr>
        <w:t>应用程序依赖性；</w:t>
      </w:r>
    </w:p>
    <w:p>
      <w:pPr>
        <w:pStyle w:val="10"/>
        <w:spacing w:after="0" w:line="240" w:lineRule="auto"/>
        <w:ind w:firstLine="660" w:firstLineChars="300"/>
        <w:rPr>
          <w:sz w:val="22"/>
          <w:szCs w:val="22"/>
          <w:lang w:eastAsia="zh-TW"/>
        </w:rPr>
      </w:pPr>
      <w:r>
        <w:rPr>
          <w:sz w:val="22"/>
          <w:szCs w:val="22"/>
          <w:lang w:eastAsia="zh-CN"/>
        </w:rPr>
        <w:t>-</w:t>
      </w:r>
      <w:r>
        <w:rPr>
          <w:rFonts w:hint="eastAsia"/>
          <w:sz w:val="22"/>
          <w:szCs w:val="22"/>
          <w:lang w:eastAsia="zh-CN"/>
        </w:rPr>
        <w:t>信息安全；</w:t>
      </w:r>
    </w:p>
    <w:p>
      <w:pPr>
        <w:pStyle w:val="10"/>
        <w:spacing w:after="0" w:line="240" w:lineRule="auto"/>
        <w:ind w:firstLine="660" w:firstLineChars="300"/>
        <w:rPr>
          <w:sz w:val="22"/>
          <w:szCs w:val="22"/>
          <w:lang w:eastAsia="zh-TW"/>
        </w:rPr>
      </w:pPr>
      <w:r>
        <w:rPr>
          <w:sz w:val="22"/>
          <w:szCs w:val="22"/>
          <w:lang w:eastAsia="zh-CN"/>
        </w:rPr>
        <w:t>-</w:t>
      </w:r>
      <w:r>
        <w:rPr>
          <w:rFonts w:hint="eastAsia"/>
          <w:sz w:val="22"/>
          <w:szCs w:val="22"/>
          <w:lang w:eastAsia="zh-CN"/>
        </w:rPr>
        <w:t>事故恢复。</w:t>
      </w:r>
    </w:p>
    <w:p>
      <w:pPr>
        <w:pStyle w:val="10"/>
        <w:numPr>
          <w:ilvl w:val="0"/>
          <w:numId w:val="8"/>
        </w:numPr>
        <w:spacing w:after="0" w:line="240" w:lineRule="auto"/>
        <w:rPr>
          <w:sz w:val="22"/>
          <w:szCs w:val="22"/>
          <w:lang w:eastAsia="zh-CN"/>
        </w:rPr>
      </w:pPr>
      <w:r>
        <w:rPr>
          <w:rFonts w:hint="eastAsia"/>
          <w:sz w:val="22"/>
          <w:szCs w:val="22"/>
          <w:lang w:eastAsia="zh-CN"/>
        </w:rPr>
        <w:t>根据生产环境中上述针对</w:t>
      </w:r>
      <w:r>
        <w:rPr>
          <w:lang w:eastAsia="zh-CN"/>
        </w:rPr>
        <w:t xml:space="preserve">OneContact </w:t>
      </w:r>
      <w:r>
        <w:rPr>
          <w:rFonts w:hint="eastAsia"/>
          <w:lang w:eastAsia="zh-CN"/>
        </w:rPr>
        <w:t>系统及云底座部署</w:t>
      </w:r>
      <w:r>
        <w:rPr>
          <w:rFonts w:hint="eastAsia"/>
          <w:sz w:val="22"/>
          <w:szCs w:val="22"/>
          <w:lang w:eastAsia="zh-CN"/>
        </w:rPr>
        <w:t>定制的云工作程序，评估和审查云端设置以识别任何控制差距。</w:t>
      </w:r>
    </w:p>
    <w:p>
      <w:pPr>
        <w:pStyle w:val="10"/>
        <w:spacing w:after="0" w:line="240" w:lineRule="auto"/>
        <w:rPr>
          <w:b/>
          <w:bCs/>
          <w:sz w:val="22"/>
          <w:szCs w:val="22"/>
          <w:lang w:eastAsia="zh-CN"/>
        </w:rPr>
      </w:pPr>
    </w:p>
    <w:p>
      <w:pPr>
        <w:pStyle w:val="10"/>
        <w:spacing w:after="0" w:line="240" w:lineRule="auto"/>
        <w:rPr>
          <w:b/>
          <w:bCs/>
          <w:sz w:val="22"/>
          <w:szCs w:val="22"/>
          <w:lang w:eastAsia="zh-CN"/>
        </w:rPr>
      </w:pPr>
      <w:r>
        <w:rPr>
          <w:rFonts w:hint="eastAsia"/>
          <w:b/>
          <w:bCs/>
          <w:sz w:val="22"/>
          <w:szCs w:val="22"/>
          <w:lang w:eastAsia="zh-CN"/>
        </w:rPr>
        <w:t>工作流三：</w:t>
      </w:r>
      <w:r>
        <w:rPr>
          <w:b/>
          <w:bCs/>
          <w:sz w:val="22"/>
          <w:szCs w:val="22"/>
          <w:lang w:eastAsia="zh-CN"/>
        </w:rPr>
        <w:t xml:space="preserve">  </w:t>
      </w:r>
      <w:r>
        <w:rPr>
          <w:rFonts w:hint="eastAsia"/>
          <w:b/>
          <w:bCs/>
          <w:sz w:val="22"/>
          <w:szCs w:val="22"/>
          <w:lang w:val="en-US" w:eastAsia="zh-CN"/>
        </w:rPr>
        <w:t>相关地区</w:t>
      </w:r>
      <w:r>
        <w:rPr>
          <w:rFonts w:hint="eastAsia"/>
          <w:b/>
          <w:bCs/>
          <w:sz w:val="22"/>
          <w:szCs w:val="22"/>
          <w:lang w:eastAsia="zh-CN"/>
        </w:rPr>
        <w:t>网络安全法、隐私保护法和</w:t>
      </w:r>
      <w:r>
        <w:rPr>
          <w:b/>
          <w:bCs/>
          <w:sz w:val="22"/>
          <w:szCs w:val="22"/>
          <w:lang w:eastAsia="zh-CN"/>
        </w:rPr>
        <w:t>数据安全法</w:t>
      </w:r>
      <w:r>
        <w:rPr>
          <w:rFonts w:hint="eastAsia"/>
          <w:b/>
          <w:bCs/>
          <w:sz w:val="22"/>
          <w:szCs w:val="22"/>
          <w:lang w:eastAsia="zh-CN"/>
        </w:rPr>
        <w:t>评估</w:t>
      </w:r>
    </w:p>
    <w:p>
      <w:pPr>
        <w:pStyle w:val="10"/>
        <w:spacing w:after="0" w:line="240" w:lineRule="auto"/>
        <w:rPr>
          <w:sz w:val="22"/>
          <w:szCs w:val="22"/>
          <w:lang w:eastAsia="zh-CN"/>
        </w:rPr>
      </w:pPr>
    </w:p>
    <w:p>
      <w:pPr>
        <w:pStyle w:val="10"/>
        <w:spacing w:after="0" w:line="240" w:lineRule="auto"/>
        <w:rPr>
          <w:sz w:val="22"/>
          <w:szCs w:val="22"/>
          <w:lang w:eastAsia="zh-CN"/>
        </w:rPr>
      </w:pPr>
      <w:r>
        <w:rPr>
          <w:rFonts w:hint="eastAsia"/>
          <w:sz w:val="22"/>
          <w:szCs w:val="22"/>
          <w:lang w:eastAsia="zh-CN"/>
        </w:rPr>
        <w:t>根据相关</w:t>
      </w:r>
      <w:r>
        <w:rPr>
          <w:sz w:val="22"/>
          <w:szCs w:val="22"/>
          <w:lang w:eastAsia="zh-CN"/>
        </w:rPr>
        <w:t>地区</w:t>
      </w:r>
      <w:r>
        <w:rPr>
          <w:rFonts w:hint="eastAsia"/>
          <w:sz w:val="22"/>
          <w:szCs w:val="22"/>
          <w:lang w:eastAsia="zh-CN"/>
        </w:rPr>
        <w:t>网络安全法，隐私保护法及</w:t>
      </w:r>
      <w:r>
        <w:rPr>
          <w:sz w:val="22"/>
          <w:szCs w:val="22"/>
          <w:lang w:eastAsia="zh-CN"/>
        </w:rPr>
        <w:t>数据安全法</w:t>
      </w:r>
      <w:r>
        <w:rPr>
          <w:rFonts w:hint="eastAsia"/>
          <w:sz w:val="22"/>
          <w:szCs w:val="22"/>
          <w:lang w:eastAsia="zh-CN"/>
        </w:rPr>
        <w:t>（如有），为本次云端部署中涉及的系统提供评估服务，进行差距分析，以了解在相关地区网络安全规范中的各网络及计算机系统安全保护等级的安全措施要求、其落实情况以及协助解决缺失部份。待</w:t>
      </w:r>
      <w:r>
        <w:rPr>
          <w:sz w:val="22"/>
          <w:szCs w:val="22"/>
          <w:lang w:eastAsia="zh-CN"/>
        </w:rPr>
        <w:t>评估</w:t>
      </w:r>
      <w:r>
        <w:rPr>
          <w:rFonts w:hint="eastAsia"/>
          <w:sz w:val="22"/>
          <w:szCs w:val="22"/>
          <w:lang w:eastAsia="zh-CN"/>
        </w:rPr>
        <w:t>法律</w:t>
      </w:r>
      <w:r>
        <w:rPr>
          <w:sz w:val="22"/>
          <w:szCs w:val="22"/>
          <w:lang w:eastAsia="zh-CN"/>
        </w:rPr>
        <w:t>至少包括</w:t>
      </w:r>
      <w:r>
        <w:rPr>
          <w:rFonts w:hint="eastAsia"/>
          <w:sz w:val="22"/>
          <w:szCs w:val="22"/>
          <w:lang w:eastAsia="zh-CN"/>
        </w:rPr>
        <w:t>以下内容</w:t>
      </w:r>
      <w:r>
        <w:rPr>
          <w:sz w:val="22"/>
          <w:szCs w:val="22"/>
          <w:lang w:eastAsia="zh-CN"/>
        </w:rPr>
        <w:t>：</w:t>
      </w:r>
    </w:p>
    <w:p>
      <w:pPr>
        <w:pStyle w:val="10"/>
        <w:spacing w:after="0" w:line="240" w:lineRule="auto"/>
        <w:rPr>
          <w:sz w:val="22"/>
          <w:szCs w:val="22"/>
          <w:lang w:eastAsia="zh-CN"/>
        </w:rPr>
      </w:pPr>
    </w:p>
    <w:p>
      <w:pPr>
        <w:pStyle w:val="10"/>
        <w:spacing w:line="240" w:lineRule="auto"/>
        <w:rPr>
          <w:sz w:val="22"/>
          <w:szCs w:val="22"/>
          <w:lang w:eastAsia="zh-CN"/>
        </w:rPr>
      </w:pPr>
      <w:r>
        <w:rPr>
          <w:rFonts w:hint="eastAsia"/>
          <w:sz w:val="22"/>
          <w:szCs w:val="22"/>
          <w:lang w:eastAsia="zh-CN"/>
        </w:rPr>
        <w:t>中国香港：</w:t>
      </w:r>
    </w:p>
    <w:p>
      <w:pPr>
        <w:pStyle w:val="10"/>
        <w:numPr>
          <w:ilvl w:val="0"/>
          <w:numId w:val="4"/>
        </w:numPr>
        <w:spacing w:after="0" w:line="240" w:lineRule="auto"/>
        <w:rPr>
          <w:sz w:val="22"/>
          <w:szCs w:val="22"/>
          <w:lang w:eastAsia="zh-CN"/>
        </w:rPr>
      </w:pPr>
      <w:r>
        <w:rPr>
          <w:sz w:val="22"/>
          <w:szCs w:val="22"/>
          <w:lang w:eastAsia="zh-CN"/>
        </w:rPr>
        <w:t>Personal Data (Privacy) Ordinance (Cap. 486) (amendment in 2021)</w:t>
      </w:r>
      <w:r>
        <w:rPr>
          <w:lang w:eastAsia="zh-CN"/>
        </w:rPr>
        <w:t xml:space="preserve"> </w:t>
      </w:r>
      <w:r>
        <w:rPr>
          <w:rFonts w:hint="eastAsia"/>
          <w:sz w:val="22"/>
          <w:szCs w:val="22"/>
          <w:lang w:eastAsia="zh-CN"/>
        </w:rPr>
        <w:t>第</w:t>
      </w:r>
      <w:r>
        <w:rPr>
          <w:sz w:val="22"/>
          <w:szCs w:val="22"/>
          <w:lang w:eastAsia="zh-CN"/>
        </w:rPr>
        <w:t>486</w:t>
      </w:r>
      <w:r>
        <w:rPr>
          <w:rFonts w:hint="eastAsia"/>
          <w:sz w:val="22"/>
          <w:szCs w:val="22"/>
          <w:lang w:eastAsia="zh-CN"/>
        </w:rPr>
        <w:t>章《</w:t>
      </w:r>
      <w:r>
        <w:rPr>
          <w:sz w:val="22"/>
          <w:szCs w:val="22"/>
          <w:lang w:eastAsia="zh-CN"/>
        </w:rPr>
        <w:t>2021</w:t>
      </w:r>
      <w:r>
        <w:rPr>
          <w:rFonts w:hint="eastAsia"/>
          <w:sz w:val="22"/>
          <w:szCs w:val="22"/>
          <w:lang w:eastAsia="zh-CN"/>
        </w:rPr>
        <w:t>年個人資料</w:t>
      </w:r>
      <w:r>
        <w:rPr>
          <w:sz w:val="22"/>
          <w:szCs w:val="22"/>
          <w:lang w:eastAsia="zh-CN"/>
        </w:rPr>
        <w:t>(</w:t>
      </w:r>
      <w:r>
        <w:rPr>
          <w:rFonts w:hint="eastAsia"/>
          <w:sz w:val="22"/>
          <w:szCs w:val="22"/>
          <w:lang w:eastAsia="zh-CN"/>
        </w:rPr>
        <w:t>私隱</w:t>
      </w:r>
      <w:r>
        <w:rPr>
          <w:sz w:val="22"/>
          <w:szCs w:val="22"/>
          <w:lang w:eastAsia="zh-CN"/>
        </w:rPr>
        <w:t>)(</w:t>
      </w:r>
      <w:r>
        <w:rPr>
          <w:rFonts w:hint="eastAsia"/>
          <w:sz w:val="22"/>
          <w:szCs w:val="22"/>
          <w:lang w:eastAsia="zh-CN"/>
        </w:rPr>
        <w:t>修訂</w:t>
      </w:r>
      <w:r>
        <w:rPr>
          <w:sz w:val="22"/>
          <w:szCs w:val="22"/>
          <w:lang w:eastAsia="zh-CN"/>
        </w:rPr>
        <w:t>)</w:t>
      </w:r>
      <w:r>
        <w:rPr>
          <w:rFonts w:hint="eastAsia"/>
          <w:sz w:val="22"/>
          <w:szCs w:val="22"/>
          <w:lang w:eastAsia="zh-CN"/>
        </w:rPr>
        <w:t>條例》</w:t>
      </w:r>
    </w:p>
    <w:p>
      <w:pPr>
        <w:pStyle w:val="10"/>
        <w:spacing w:line="240" w:lineRule="auto"/>
        <w:rPr>
          <w:rFonts w:eastAsiaTheme="minorEastAsia"/>
          <w:sz w:val="22"/>
          <w:szCs w:val="22"/>
          <w:lang w:eastAsia="zh-TW"/>
        </w:rPr>
      </w:pPr>
      <w:r>
        <w:rPr>
          <w:rFonts w:hint="eastAsia"/>
          <w:sz w:val="22"/>
          <w:szCs w:val="22"/>
          <w:lang w:eastAsia="zh-CN"/>
        </w:rPr>
        <w:t>中国澳门：</w:t>
      </w:r>
    </w:p>
    <w:p>
      <w:pPr>
        <w:pStyle w:val="10"/>
        <w:numPr>
          <w:ilvl w:val="0"/>
          <w:numId w:val="4"/>
        </w:numPr>
        <w:spacing w:after="0" w:line="240" w:lineRule="auto"/>
        <w:rPr>
          <w:sz w:val="22"/>
          <w:szCs w:val="22"/>
          <w:lang w:eastAsia="zh-CN"/>
        </w:rPr>
      </w:pPr>
      <w:r>
        <w:rPr>
          <w:rFonts w:hint="eastAsia"/>
          <w:sz w:val="22"/>
          <w:szCs w:val="22"/>
          <w:lang w:eastAsia="zh-CN"/>
        </w:rPr>
        <w:t>网络安全法</w:t>
      </w:r>
      <w:r>
        <w:rPr>
          <w:sz w:val="22"/>
          <w:szCs w:val="22"/>
          <w:lang w:eastAsia="zh-CN"/>
        </w:rPr>
        <w:t xml:space="preserve"> (</w:t>
      </w:r>
      <w:r>
        <w:rPr>
          <w:rFonts w:hint="eastAsia"/>
          <w:sz w:val="22"/>
          <w:szCs w:val="22"/>
          <w:lang w:eastAsia="zh-CN"/>
        </w:rPr>
        <w:t>澳门特别行政区第</w:t>
      </w:r>
      <w:r>
        <w:rPr>
          <w:sz w:val="22"/>
          <w:szCs w:val="22"/>
          <w:lang w:eastAsia="zh-CN"/>
        </w:rPr>
        <w:t>13/2019</w:t>
      </w:r>
      <w:r>
        <w:rPr>
          <w:rFonts w:hint="eastAsia"/>
          <w:sz w:val="22"/>
          <w:szCs w:val="22"/>
          <w:lang w:eastAsia="zh-CN"/>
        </w:rPr>
        <w:t>号法律</w:t>
      </w:r>
      <w:r>
        <w:rPr>
          <w:sz w:val="22"/>
          <w:szCs w:val="22"/>
          <w:lang w:eastAsia="zh-CN"/>
        </w:rPr>
        <w:t xml:space="preserve">) </w:t>
      </w:r>
      <w:r>
        <w:rPr>
          <w:rFonts w:hint="eastAsia"/>
          <w:sz w:val="22"/>
          <w:szCs w:val="22"/>
          <w:lang w:eastAsia="zh-CN"/>
        </w:rPr>
        <w:t>。</w:t>
      </w:r>
    </w:p>
    <w:p>
      <w:pPr>
        <w:pStyle w:val="10"/>
        <w:numPr>
          <w:ilvl w:val="0"/>
          <w:numId w:val="4"/>
        </w:numPr>
        <w:spacing w:after="0" w:line="240" w:lineRule="auto"/>
        <w:rPr>
          <w:sz w:val="22"/>
          <w:szCs w:val="22"/>
          <w:lang w:eastAsia="zh-CN"/>
        </w:rPr>
      </w:pPr>
      <w:r>
        <w:rPr>
          <w:rFonts w:hint="eastAsia"/>
          <w:sz w:val="22"/>
          <w:szCs w:val="22"/>
          <w:lang w:eastAsia="zh-CN"/>
        </w:rPr>
        <w:t>《個人資料保護法》</w:t>
      </w:r>
      <w:r>
        <w:rPr>
          <w:sz w:val="22"/>
          <w:szCs w:val="22"/>
          <w:lang w:eastAsia="zh-CN"/>
        </w:rPr>
        <w:t>Macau Personal Data Protection Law</w:t>
      </w:r>
    </w:p>
    <w:p>
      <w:pPr>
        <w:pStyle w:val="10"/>
        <w:spacing w:after="0" w:line="240" w:lineRule="auto"/>
        <w:rPr>
          <w:sz w:val="22"/>
          <w:szCs w:val="22"/>
          <w:lang w:eastAsia="zh-CN"/>
        </w:rPr>
      </w:pPr>
    </w:p>
    <w:p>
      <w:pPr>
        <w:pStyle w:val="10"/>
        <w:spacing w:line="240" w:lineRule="auto"/>
        <w:rPr>
          <w:sz w:val="22"/>
          <w:szCs w:val="22"/>
          <w:lang w:eastAsia="zh-CN"/>
        </w:rPr>
      </w:pPr>
      <w:r>
        <w:rPr>
          <w:rFonts w:hint="eastAsia"/>
          <w:sz w:val="22"/>
          <w:szCs w:val="22"/>
          <w:lang w:eastAsia="zh-CN"/>
        </w:rPr>
        <w:t>新加坡：</w:t>
      </w:r>
    </w:p>
    <w:p>
      <w:pPr>
        <w:pStyle w:val="10"/>
        <w:numPr>
          <w:ilvl w:val="0"/>
          <w:numId w:val="4"/>
        </w:numPr>
        <w:tabs>
          <w:tab w:val="clear" w:pos="993"/>
        </w:tabs>
        <w:spacing w:after="0" w:line="240" w:lineRule="auto"/>
        <w:rPr>
          <w:sz w:val="22"/>
          <w:szCs w:val="22"/>
          <w:lang w:eastAsia="zh-CN"/>
        </w:rPr>
      </w:pPr>
      <w:r>
        <w:rPr>
          <w:sz w:val="22"/>
          <w:szCs w:val="22"/>
          <w:lang w:eastAsia="zh-CN"/>
        </w:rPr>
        <w:t xml:space="preserve">Personal Data Protection Act (amendment in 2020) </w:t>
      </w:r>
      <w:r>
        <w:rPr>
          <w:rFonts w:hint="eastAsia"/>
          <w:sz w:val="22"/>
          <w:szCs w:val="22"/>
          <w:lang w:eastAsia="zh-CN"/>
        </w:rPr>
        <w:t>《</w:t>
      </w:r>
      <w:r>
        <w:rPr>
          <w:sz w:val="22"/>
          <w:szCs w:val="22"/>
          <w:lang w:eastAsia="zh-CN"/>
        </w:rPr>
        <w:t>2020</w:t>
      </w:r>
      <w:r>
        <w:rPr>
          <w:rFonts w:hint="eastAsia"/>
          <w:sz w:val="22"/>
          <w:szCs w:val="22"/>
          <w:lang w:eastAsia="zh-CN"/>
        </w:rPr>
        <w:t>年个人数据保护（修订）法案》</w:t>
      </w:r>
    </w:p>
    <w:p>
      <w:pPr>
        <w:pStyle w:val="10"/>
        <w:spacing w:line="240" w:lineRule="auto"/>
        <w:rPr>
          <w:sz w:val="22"/>
          <w:szCs w:val="22"/>
          <w:lang w:eastAsia="zh-CN"/>
        </w:rPr>
      </w:pPr>
    </w:p>
    <w:p>
      <w:pPr>
        <w:pStyle w:val="10"/>
        <w:spacing w:line="240" w:lineRule="auto"/>
        <w:rPr>
          <w:sz w:val="22"/>
          <w:szCs w:val="22"/>
          <w:lang w:eastAsia="zh-CN"/>
        </w:rPr>
      </w:pPr>
      <w:r>
        <w:rPr>
          <w:rFonts w:hint="eastAsia"/>
          <w:sz w:val="22"/>
          <w:szCs w:val="22"/>
          <w:lang w:eastAsia="zh-CN"/>
        </w:rPr>
        <w:t>印度尼西亚：</w:t>
      </w:r>
    </w:p>
    <w:p>
      <w:pPr>
        <w:pStyle w:val="10"/>
        <w:numPr>
          <w:ilvl w:val="0"/>
          <w:numId w:val="4"/>
        </w:numPr>
        <w:tabs>
          <w:tab w:val="clear" w:pos="993"/>
        </w:tabs>
        <w:spacing w:after="0" w:line="240" w:lineRule="auto"/>
        <w:rPr>
          <w:sz w:val="22"/>
          <w:szCs w:val="22"/>
          <w:lang w:eastAsia="zh-CN"/>
        </w:rPr>
      </w:pPr>
      <w:r>
        <w:rPr>
          <w:sz w:val="22"/>
          <w:szCs w:val="22"/>
          <w:lang w:eastAsia="zh-CN"/>
        </w:rPr>
        <w:t xml:space="preserve">Indonesia Personal Data Protection Law (No. 27 Year 2022) </w:t>
      </w:r>
      <w:r>
        <w:rPr>
          <w:rFonts w:hint="eastAsia"/>
          <w:sz w:val="22"/>
          <w:szCs w:val="22"/>
          <w:lang w:eastAsia="zh-CN"/>
        </w:rPr>
        <w:t>个人数据保护法法案</w:t>
      </w:r>
    </w:p>
    <w:p>
      <w:pPr>
        <w:pStyle w:val="10"/>
        <w:spacing w:after="0" w:line="240" w:lineRule="auto"/>
        <w:rPr>
          <w:sz w:val="22"/>
          <w:szCs w:val="22"/>
          <w:lang w:eastAsia="zh-CN"/>
        </w:rPr>
      </w:pPr>
    </w:p>
    <w:p>
      <w:pPr>
        <w:pStyle w:val="10"/>
        <w:spacing w:after="0" w:line="240" w:lineRule="auto"/>
        <w:rPr>
          <w:sz w:val="22"/>
          <w:szCs w:val="22"/>
          <w:lang w:eastAsia="zh-CN"/>
        </w:rPr>
      </w:pPr>
      <w:r>
        <w:rPr>
          <w:rFonts w:hint="eastAsia"/>
          <w:sz w:val="22"/>
          <w:szCs w:val="22"/>
          <w:lang w:eastAsia="zh-CN"/>
        </w:rPr>
        <w:t>为有效进行差距分析，将通过以下方法</w:t>
      </w:r>
      <w:r>
        <w:rPr>
          <w:sz w:val="22"/>
          <w:szCs w:val="22"/>
          <w:lang w:eastAsia="zh-CN"/>
        </w:rPr>
        <w:t>(</w:t>
      </w:r>
      <w:r>
        <w:rPr>
          <w:rFonts w:hint="eastAsia"/>
          <w:sz w:val="22"/>
          <w:szCs w:val="22"/>
          <w:lang w:eastAsia="zh-CN"/>
        </w:rPr>
        <w:t>如适用</w:t>
      </w:r>
      <w:r>
        <w:rPr>
          <w:sz w:val="22"/>
          <w:szCs w:val="22"/>
          <w:lang w:eastAsia="zh-CN"/>
        </w:rPr>
        <w:t>)</w:t>
      </w:r>
      <w:r>
        <w:rPr>
          <w:rFonts w:hint="eastAsia"/>
          <w:sz w:val="22"/>
          <w:szCs w:val="22"/>
          <w:lang w:eastAsia="zh-CN"/>
        </w:rPr>
        <w:t>进行分析：</w:t>
      </w:r>
    </w:p>
    <w:p>
      <w:pPr>
        <w:pStyle w:val="10"/>
        <w:spacing w:after="0" w:line="240" w:lineRule="auto"/>
        <w:rPr>
          <w:sz w:val="22"/>
          <w:szCs w:val="22"/>
          <w:lang w:eastAsia="zh-CN"/>
        </w:rPr>
      </w:pPr>
    </w:p>
    <w:p>
      <w:pPr>
        <w:pStyle w:val="10"/>
        <w:numPr>
          <w:ilvl w:val="0"/>
          <w:numId w:val="9"/>
        </w:numPr>
        <w:spacing w:after="0" w:line="240" w:lineRule="auto"/>
        <w:rPr>
          <w:sz w:val="22"/>
          <w:szCs w:val="22"/>
          <w:u w:val="single"/>
          <w:lang w:eastAsia="zh-TW"/>
        </w:rPr>
      </w:pPr>
      <w:r>
        <w:rPr>
          <w:rFonts w:hint="eastAsia"/>
          <w:sz w:val="22"/>
          <w:szCs w:val="22"/>
          <w:u w:val="single"/>
          <w:lang w:eastAsia="zh-CN"/>
        </w:rPr>
        <w:t>计划及定案</w:t>
      </w:r>
    </w:p>
    <w:p>
      <w:pPr>
        <w:pStyle w:val="10"/>
        <w:spacing w:after="0" w:line="240" w:lineRule="auto"/>
        <w:ind w:left="390"/>
        <w:rPr>
          <w:sz w:val="22"/>
          <w:szCs w:val="22"/>
          <w:u w:val="single"/>
          <w:lang w:eastAsia="zh-TW"/>
        </w:rPr>
      </w:pPr>
    </w:p>
    <w:p>
      <w:pPr>
        <w:pStyle w:val="10"/>
        <w:numPr>
          <w:ilvl w:val="0"/>
          <w:numId w:val="10"/>
        </w:numPr>
        <w:spacing w:after="0" w:line="240" w:lineRule="auto"/>
        <w:rPr>
          <w:sz w:val="22"/>
          <w:szCs w:val="22"/>
          <w:lang w:eastAsia="zh-CN"/>
        </w:rPr>
      </w:pPr>
      <w:r>
        <w:rPr>
          <w:rFonts w:hint="eastAsia"/>
          <w:sz w:val="22"/>
          <w:szCs w:val="22"/>
          <w:lang w:eastAsia="zh-CN"/>
        </w:rPr>
        <w:t>正式启动评估之前，讨论及同意评估的范围，所涵盖的系统及流程，方法论以及时间表</w:t>
      </w:r>
    </w:p>
    <w:p>
      <w:pPr>
        <w:pStyle w:val="10"/>
        <w:numPr>
          <w:ilvl w:val="0"/>
          <w:numId w:val="10"/>
        </w:numPr>
        <w:spacing w:after="0" w:line="240" w:lineRule="auto"/>
        <w:rPr>
          <w:sz w:val="22"/>
          <w:szCs w:val="22"/>
          <w:lang w:eastAsia="zh-CN"/>
        </w:rPr>
      </w:pPr>
      <w:r>
        <w:rPr>
          <w:rFonts w:hint="eastAsia"/>
          <w:sz w:val="22"/>
          <w:szCs w:val="22"/>
          <w:lang w:eastAsia="zh-CN"/>
        </w:rPr>
        <w:t>利用在工作流一及工作流二中的了解</w:t>
      </w:r>
      <w:r>
        <w:rPr>
          <w:sz w:val="22"/>
          <w:szCs w:val="22"/>
          <w:lang w:eastAsia="zh-CN"/>
        </w:rPr>
        <w:t>(</w:t>
      </w:r>
      <w:r>
        <w:rPr>
          <w:rFonts w:hint="eastAsia"/>
          <w:sz w:val="22"/>
          <w:szCs w:val="22"/>
          <w:lang w:eastAsia="zh-CN"/>
        </w:rPr>
        <w:t>如</w:t>
      </w:r>
      <w:r>
        <w:rPr>
          <w:sz w:val="22"/>
          <w:szCs w:val="22"/>
          <w:lang w:eastAsia="zh-CN"/>
        </w:rPr>
        <w:t xml:space="preserve"> </w:t>
      </w:r>
      <w:r>
        <w:rPr>
          <w:rFonts w:hint="eastAsia"/>
          <w:sz w:val="22"/>
          <w:szCs w:val="22"/>
          <w:lang w:eastAsia="zh-CN"/>
        </w:rPr>
        <w:t>网络安全政策，操作流程等</w:t>
      </w:r>
      <w:r>
        <w:rPr>
          <w:sz w:val="22"/>
          <w:szCs w:val="22"/>
          <w:lang w:eastAsia="zh-CN"/>
        </w:rPr>
        <w:t>)</w:t>
      </w:r>
      <w:r>
        <w:rPr>
          <w:rFonts w:hint="eastAsia"/>
          <w:sz w:val="22"/>
          <w:szCs w:val="22"/>
          <w:lang w:eastAsia="zh-CN"/>
        </w:rPr>
        <w:t>，提升评估效率。</w:t>
      </w:r>
    </w:p>
    <w:p>
      <w:pPr>
        <w:pStyle w:val="10"/>
        <w:spacing w:after="0" w:line="240" w:lineRule="auto"/>
        <w:ind w:left="390"/>
        <w:rPr>
          <w:sz w:val="22"/>
          <w:szCs w:val="22"/>
          <w:lang w:eastAsia="zh-CN"/>
        </w:rPr>
      </w:pPr>
    </w:p>
    <w:p>
      <w:pPr>
        <w:pStyle w:val="10"/>
        <w:numPr>
          <w:ilvl w:val="0"/>
          <w:numId w:val="9"/>
        </w:numPr>
        <w:spacing w:after="0" w:line="240" w:lineRule="auto"/>
        <w:rPr>
          <w:sz w:val="22"/>
          <w:szCs w:val="22"/>
          <w:u w:val="single"/>
          <w:lang w:eastAsia="zh-CN"/>
        </w:rPr>
      </w:pPr>
      <w:r>
        <w:rPr>
          <w:rFonts w:hint="eastAsia"/>
          <w:sz w:val="22"/>
          <w:szCs w:val="22"/>
          <w:u w:val="single"/>
          <w:lang w:eastAsia="zh-CN"/>
        </w:rPr>
        <w:t>网络安全、隐私保护及</w:t>
      </w:r>
      <w:r>
        <w:rPr>
          <w:sz w:val="22"/>
          <w:szCs w:val="22"/>
          <w:u w:val="single"/>
          <w:lang w:eastAsia="zh-CN"/>
        </w:rPr>
        <w:t>数据安全</w:t>
      </w:r>
      <w:r>
        <w:rPr>
          <w:rFonts w:hint="eastAsia"/>
          <w:sz w:val="22"/>
          <w:szCs w:val="22"/>
          <w:u w:val="single"/>
          <w:lang w:eastAsia="zh-CN"/>
        </w:rPr>
        <w:t>管理体系评估</w:t>
      </w:r>
    </w:p>
    <w:p>
      <w:pPr>
        <w:pStyle w:val="10"/>
        <w:spacing w:after="0" w:line="240" w:lineRule="auto"/>
        <w:ind w:left="390"/>
        <w:rPr>
          <w:sz w:val="22"/>
          <w:szCs w:val="22"/>
          <w:lang w:eastAsia="zh-CN"/>
        </w:rPr>
      </w:pPr>
    </w:p>
    <w:p>
      <w:pPr>
        <w:pStyle w:val="10"/>
        <w:numPr>
          <w:ilvl w:val="0"/>
          <w:numId w:val="11"/>
        </w:numPr>
        <w:spacing w:after="0" w:line="240" w:lineRule="auto"/>
        <w:rPr>
          <w:sz w:val="22"/>
          <w:szCs w:val="22"/>
          <w:lang w:eastAsia="zh-CN"/>
        </w:rPr>
      </w:pPr>
      <w:r>
        <w:rPr>
          <w:rFonts w:hint="eastAsia"/>
          <w:sz w:val="22"/>
          <w:szCs w:val="22"/>
          <w:lang w:eastAsia="zh-CN"/>
        </w:rPr>
        <w:t>对现有网络安全、隐私保护及</w:t>
      </w:r>
      <w:r>
        <w:rPr>
          <w:sz w:val="22"/>
          <w:szCs w:val="22"/>
          <w:lang w:eastAsia="zh-CN"/>
        </w:rPr>
        <w:t>数据安全</w:t>
      </w:r>
      <w:r>
        <w:rPr>
          <w:rFonts w:hint="eastAsia"/>
          <w:sz w:val="22"/>
          <w:szCs w:val="22"/>
          <w:lang w:eastAsia="zh-CN"/>
        </w:rPr>
        <w:t>管理体系进行差距分析评估，包括网络安全、隐私保护法和</w:t>
      </w:r>
      <w:r>
        <w:rPr>
          <w:sz w:val="22"/>
          <w:szCs w:val="22"/>
          <w:lang w:eastAsia="zh-CN"/>
        </w:rPr>
        <w:t>数据安全</w:t>
      </w:r>
      <w:r>
        <w:rPr>
          <w:rFonts w:hint="eastAsia"/>
          <w:sz w:val="22"/>
          <w:szCs w:val="22"/>
          <w:lang w:eastAsia="zh-CN"/>
        </w:rPr>
        <w:t>管理基准的整体要求，以及系统和</w:t>
      </w:r>
      <w:r>
        <w:rPr>
          <w:sz w:val="22"/>
          <w:szCs w:val="22"/>
          <w:lang w:eastAsia="zh-CN"/>
        </w:rPr>
        <w:t>数据</w:t>
      </w:r>
      <w:r>
        <w:rPr>
          <w:rFonts w:hint="eastAsia"/>
          <w:sz w:val="22"/>
          <w:szCs w:val="22"/>
          <w:lang w:eastAsia="zh-CN"/>
        </w:rPr>
        <w:t>安全措施基本要求</w:t>
      </w:r>
    </w:p>
    <w:p>
      <w:pPr>
        <w:pStyle w:val="10"/>
        <w:spacing w:after="0" w:line="240" w:lineRule="auto"/>
        <w:ind w:left="390"/>
        <w:rPr>
          <w:sz w:val="22"/>
          <w:szCs w:val="22"/>
          <w:lang w:eastAsia="zh-CN"/>
        </w:rPr>
      </w:pPr>
    </w:p>
    <w:p>
      <w:pPr>
        <w:pStyle w:val="10"/>
        <w:numPr>
          <w:ilvl w:val="0"/>
          <w:numId w:val="9"/>
        </w:numPr>
        <w:spacing w:after="0" w:line="240" w:lineRule="auto"/>
        <w:rPr>
          <w:sz w:val="22"/>
          <w:szCs w:val="22"/>
          <w:u w:val="single"/>
          <w:lang w:eastAsia="zh-CN"/>
        </w:rPr>
      </w:pPr>
      <w:r>
        <w:rPr>
          <w:rFonts w:hint="eastAsia"/>
          <w:sz w:val="22"/>
          <w:szCs w:val="22"/>
          <w:u w:val="single"/>
          <w:lang w:eastAsia="zh-CN"/>
        </w:rPr>
        <w:t>网络安全，隐私保护及数据</w:t>
      </w:r>
      <w:r>
        <w:rPr>
          <w:sz w:val="22"/>
          <w:szCs w:val="22"/>
          <w:u w:val="single"/>
          <w:lang w:eastAsia="zh-CN"/>
        </w:rPr>
        <w:t>安全</w:t>
      </w:r>
      <w:r>
        <w:rPr>
          <w:rFonts w:hint="eastAsia"/>
          <w:sz w:val="22"/>
          <w:szCs w:val="22"/>
          <w:u w:val="single"/>
          <w:lang w:eastAsia="zh-CN"/>
        </w:rPr>
        <w:t>风险评估</w:t>
      </w:r>
    </w:p>
    <w:p>
      <w:pPr>
        <w:pStyle w:val="10"/>
        <w:spacing w:after="0" w:line="240" w:lineRule="auto"/>
        <w:ind w:left="390"/>
        <w:rPr>
          <w:sz w:val="22"/>
          <w:szCs w:val="22"/>
          <w:lang w:eastAsia="zh-CN"/>
        </w:rPr>
      </w:pPr>
    </w:p>
    <w:p>
      <w:pPr>
        <w:pStyle w:val="10"/>
        <w:numPr>
          <w:ilvl w:val="0"/>
          <w:numId w:val="12"/>
        </w:numPr>
        <w:spacing w:after="0" w:line="240" w:lineRule="auto"/>
        <w:rPr>
          <w:sz w:val="22"/>
          <w:szCs w:val="22"/>
          <w:lang w:val="en-US" w:eastAsia="zh-CN"/>
        </w:rPr>
      </w:pPr>
      <w:r>
        <w:rPr>
          <w:rFonts w:hint="eastAsia"/>
          <w:sz w:val="22"/>
          <w:szCs w:val="22"/>
          <w:lang w:val="en-US" w:eastAsia="zh-CN"/>
        </w:rPr>
        <w:t>根据现有的报告，提供网络安全、隐私保护及</w:t>
      </w:r>
      <w:r>
        <w:rPr>
          <w:sz w:val="22"/>
          <w:szCs w:val="22"/>
          <w:lang w:val="en-US" w:eastAsia="zh-CN"/>
        </w:rPr>
        <w:t>数据安全</w:t>
      </w:r>
      <w:r>
        <w:rPr>
          <w:rFonts w:hint="eastAsia"/>
          <w:sz w:val="22"/>
          <w:szCs w:val="22"/>
          <w:lang w:val="en-US" w:eastAsia="zh-CN"/>
        </w:rPr>
        <w:t>风险评估结果及提升</w:t>
      </w:r>
      <w:r>
        <w:rPr>
          <w:sz w:val="22"/>
          <w:szCs w:val="22"/>
          <w:lang w:val="en-US" w:eastAsia="zh-CN"/>
        </w:rPr>
        <w:t>建议</w:t>
      </w:r>
      <w:r>
        <w:rPr>
          <w:rFonts w:hint="eastAsia"/>
          <w:sz w:val="22"/>
          <w:szCs w:val="22"/>
          <w:lang w:val="en-US" w:eastAsia="zh-CN"/>
        </w:rPr>
        <w:t>。</w:t>
      </w:r>
    </w:p>
    <w:p>
      <w:pPr>
        <w:pStyle w:val="10"/>
        <w:numPr>
          <w:ilvl w:val="0"/>
          <w:numId w:val="12"/>
        </w:numPr>
        <w:tabs>
          <w:tab w:val="clear" w:pos="993"/>
        </w:tabs>
        <w:spacing w:after="0" w:line="240" w:lineRule="auto"/>
        <w:rPr>
          <w:sz w:val="22"/>
          <w:szCs w:val="22"/>
          <w:lang w:val="en-US" w:eastAsia="zh-CN"/>
        </w:rPr>
      </w:pPr>
      <w:r>
        <w:rPr>
          <w:rFonts w:hint="eastAsia"/>
          <w:sz w:val="22"/>
          <w:szCs w:val="22"/>
          <w:lang w:val="en-US" w:eastAsia="zh-CN"/>
        </w:rPr>
        <w:t>根据中国大陆法规和监管的要求，特别是《数据出境安全评估办法》的要求，完成数据出境安全自评估报告。</w:t>
      </w:r>
    </w:p>
    <w:p>
      <w:pPr>
        <w:pStyle w:val="10"/>
        <w:spacing w:after="0" w:line="240" w:lineRule="auto"/>
        <w:rPr>
          <w:sz w:val="22"/>
          <w:szCs w:val="22"/>
          <w:lang w:eastAsia="zh-CN"/>
        </w:rPr>
      </w:pPr>
    </w:p>
    <w:p>
      <w:pPr>
        <w:pStyle w:val="10"/>
        <w:numPr>
          <w:ilvl w:val="0"/>
          <w:numId w:val="9"/>
        </w:numPr>
        <w:spacing w:after="0" w:line="240" w:lineRule="auto"/>
        <w:rPr>
          <w:sz w:val="22"/>
          <w:szCs w:val="22"/>
          <w:u w:val="single"/>
          <w:lang w:eastAsia="zh-TW"/>
        </w:rPr>
      </w:pPr>
      <w:r>
        <w:rPr>
          <w:rFonts w:hint="eastAsia"/>
          <w:sz w:val="22"/>
          <w:szCs w:val="22"/>
          <w:u w:val="single"/>
          <w:lang w:eastAsia="zh-CN"/>
        </w:rPr>
        <w:t>报告</w:t>
      </w:r>
    </w:p>
    <w:p>
      <w:pPr>
        <w:pStyle w:val="10"/>
        <w:spacing w:after="0" w:line="240" w:lineRule="auto"/>
        <w:ind w:left="390"/>
        <w:rPr>
          <w:sz w:val="22"/>
          <w:szCs w:val="22"/>
          <w:lang w:eastAsia="zh-TW"/>
        </w:rPr>
      </w:pPr>
    </w:p>
    <w:p>
      <w:pPr>
        <w:pStyle w:val="10"/>
        <w:numPr>
          <w:ilvl w:val="0"/>
          <w:numId w:val="13"/>
        </w:numPr>
        <w:spacing w:after="0" w:line="240" w:lineRule="auto"/>
        <w:rPr>
          <w:sz w:val="22"/>
          <w:szCs w:val="22"/>
          <w:lang w:eastAsia="zh-CN"/>
        </w:rPr>
      </w:pPr>
      <w:r>
        <w:rPr>
          <w:rFonts w:hint="eastAsia"/>
          <w:sz w:val="22"/>
          <w:szCs w:val="22"/>
          <w:lang w:eastAsia="zh-CN"/>
        </w:rPr>
        <w:t>根据法律法规要求提供独立评估报告，包括执行摘要，详细调查结果等。</w:t>
      </w:r>
    </w:p>
    <w:p>
      <w:pPr>
        <w:pStyle w:val="10"/>
        <w:numPr>
          <w:ilvl w:val="0"/>
          <w:numId w:val="13"/>
        </w:numPr>
        <w:spacing w:after="0" w:line="240" w:lineRule="auto"/>
        <w:rPr>
          <w:sz w:val="22"/>
          <w:szCs w:val="22"/>
          <w:lang w:eastAsia="zh-CN"/>
        </w:rPr>
      </w:pPr>
      <w:r>
        <w:rPr>
          <w:rFonts w:hint="eastAsia"/>
          <w:sz w:val="22"/>
          <w:szCs w:val="22"/>
          <w:lang w:eastAsia="zh-CN"/>
        </w:rPr>
        <w:t>针对评估发现，提供改善建议。</w:t>
      </w:r>
    </w:p>
    <w:p>
      <w:pPr>
        <w:jc w:val="both"/>
        <w:rPr>
          <w:rFonts w:ascii="Times New Roman" w:hAnsi="Times New Roman" w:eastAsia="宋体" w:cs="Times New Roman"/>
          <w:b/>
          <w:bCs/>
          <w:sz w:val="22"/>
          <w:szCs w:val="22"/>
          <w:lang w:eastAsia="zh-CN"/>
        </w:rPr>
      </w:pPr>
    </w:p>
    <w:p>
      <w:pPr>
        <w:pStyle w:val="2"/>
        <w:keepLines w:val="0"/>
        <w:numPr>
          <w:ilvl w:val="0"/>
          <w:numId w:val="1"/>
        </w:numPr>
        <w:tabs>
          <w:tab w:val="left" w:pos="360"/>
        </w:tabs>
        <w:spacing w:before="0" w:line="290" w:lineRule="atLeast"/>
        <w:ind w:firstLine="0"/>
        <w:jc w:val="both"/>
        <w:rPr>
          <w:rFonts w:ascii="Times New Roman" w:hAnsi="Times New Roman" w:eastAsia="宋体" w:cs="Times New Roman"/>
          <w:sz w:val="22"/>
          <w:szCs w:val="22"/>
          <w:lang w:eastAsia="zh-TW"/>
        </w:rPr>
      </w:pPr>
      <w:r>
        <w:rPr>
          <w:rFonts w:hint="eastAsia" w:ascii="Times New Roman" w:hAnsi="Times New Roman" w:eastAsia="宋体" w:cs="Times New Roman"/>
          <w:sz w:val="22"/>
          <w:szCs w:val="22"/>
          <w:lang w:eastAsia="zh-CN"/>
        </w:rPr>
        <w:t>交付成果</w:t>
      </w:r>
    </w:p>
    <w:p>
      <w:pPr>
        <w:jc w:val="both"/>
        <w:rPr>
          <w:rFonts w:ascii="Times New Roman" w:hAnsi="Times New Roman" w:eastAsia="宋体" w:cs="Times New Roman"/>
          <w:sz w:val="22"/>
          <w:szCs w:val="22"/>
          <w:lang w:eastAsia="zh-TW"/>
        </w:rPr>
      </w:pPr>
    </w:p>
    <w:p>
      <w:pPr>
        <w:jc w:val="both"/>
        <w:rPr>
          <w:rFonts w:ascii="Times New Roman" w:hAnsi="Times New Roman" w:eastAsia="宋体" w:cs="Times New Roman"/>
          <w:sz w:val="22"/>
          <w:szCs w:val="22"/>
          <w:lang w:eastAsia="zh-HK"/>
        </w:rPr>
      </w:pPr>
      <w:r>
        <w:rPr>
          <w:rFonts w:hint="eastAsia" w:ascii="Times New Roman" w:hAnsi="Times New Roman" w:eastAsia="宋体" w:cs="Times New Roman"/>
          <w:sz w:val="22"/>
          <w:szCs w:val="22"/>
          <w:lang w:eastAsia="zh-CN"/>
        </w:rPr>
        <w:t>在本次服务中，投标者须对整个</w:t>
      </w:r>
      <w:r>
        <w:rPr>
          <w:rFonts w:ascii="Times New Roman" w:hAnsi="Times New Roman" w:eastAsia="宋体" w:cs="Times New Roman"/>
          <w:sz w:val="22"/>
          <w:szCs w:val="22"/>
          <w:lang w:eastAsia="zh-CN"/>
        </w:rPr>
        <w:t>OneContact</w:t>
      </w:r>
      <w:r>
        <w:rPr>
          <w:rFonts w:hint="eastAsia" w:ascii="Times New Roman" w:hAnsi="Times New Roman" w:eastAsia="宋体" w:cs="Times New Roman"/>
          <w:sz w:val="22"/>
          <w:szCs w:val="22"/>
          <w:lang w:eastAsia="zh-CN"/>
        </w:rPr>
        <w:t>系统云部署的安全合规负责，确保其通过监管合规审查并顺利上线，并在上线后提供三年售后咨询服务，同时应做好知识转移工作，确保我方后续能独立应对安全合规审查。本次项目的交付物包括但不限于：</w:t>
      </w:r>
    </w:p>
    <w:p>
      <w:pPr>
        <w:pStyle w:val="9"/>
        <w:jc w:val="both"/>
        <w:rPr>
          <w:rFonts w:ascii="Times New Roman" w:hAnsi="Times New Roman" w:eastAsia="宋体" w:cs="Times New Roman"/>
          <w:sz w:val="22"/>
          <w:szCs w:val="22"/>
          <w:lang w:eastAsia="zh-CN"/>
        </w:rPr>
      </w:pPr>
    </w:p>
    <w:p>
      <w:pPr>
        <w:pStyle w:val="9"/>
        <w:numPr>
          <w:ilvl w:val="0"/>
          <w:numId w:val="14"/>
        </w:numPr>
        <w:jc w:val="both"/>
        <w:rPr>
          <w:rFonts w:ascii="Times New Roman" w:hAnsi="Times New Roman" w:eastAsia="宋体" w:cs="Times New Roman"/>
          <w:sz w:val="22"/>
          <w:szCs w:val="22"/>
          <w:lang w:eastAsia="zh-HK"/>
        </w:rPr>
      </w:pPr>
      <w:r>
        <w:rPr>
          <w:rFonts w:hint="eastAsia" w:ascii="Times New Roman" w:hAnsi="Times New Roman" w:eastAsia="宋体" w:cs="Times New Roman"/>
          <w:sz w:val="22"/>
          <w:szCs w:val="22"/>
          <w:lang w:eastAsia="zh-CN"/>
        </w:rPr>
        <w:t>总</w:t>
      </w:r>
      <w:r>
        <w:rPr>
          <w:rFonts w:hint="eastAsia" w:ascii="Times New Roman" w:hAnsi="Times New Roman" w:cs="Times New Roman"/>
          <w:sz w:val="22"/>
          <w:szCs w:val="22"/>
          <w:lang w:eastAsia="zh-CN"/>
        </w:rPr>
        <w:t>体</w:t>
      </w:r>
      <w:r>
        <w:rPr>
          <w:rFonts w:hint="eastAsia" w:ascii="Times New Roman" w:hAnsi="Times New Roman" w:eastAsia="宋体" w:cs="Times New Roman"/>
          <w:sz w:val="22"/>
          <w:szCs w:val="22"/>
          <w:lang w:eastAsia="zh-CN"/>
        </w:rPr>
        <w:t>执</w:t>
      </w:r>
      <w:r>
        <w:rPr>
          <w:rFonts w:hint="eastAsia" w:ascii="Times New Roman" w:hAnsi="Times New Roman" w:cs="Times New Roman"/>
          <w:sz w:val="22"/>
          <w:szCs w:val="22"/>
          <w:lang w:eastAsia="zh-CN"/>
        </w:rPr>
        <w:t>行概要，</w:t>
      </w:r>
      <w:r>
        <w:rPr>
          <w:rFonts w:hint="eastAsia" w:ascii="Times New Roman" w:hAnsi="Times New Roman" w:eastAsia="宋体" w:cs="Times New Roman"/>
          <w:sz w:val="22"/>
          <w:szCs w:val="22"/>
          <w:lang w:eastAsia="zh-CN"/>
        </w:rPr>
        <w:t>详细结</w:t>
      </w:r>
      <w:r>
        <w:rPr>
          <w:rFonts w:hint="eastAsia" w:ascii="Times New Roman" w:hAnsi="Times New Roman" w:cs="Times New Roman"/>
          <w:sz w:val="22"/>
          <w:szCs w:val="22"/>
          <w:lang w:eastAsia="zh-CN"/>
        </w:rPr>
        <w:t>果及建</w:t>
      </w:r>
      <w:r>
        <w:rPr>
          <w:rFonts w:hint="eastAsia" w:ascii="Times New Roman" w:hAnsi="Times New Roman" w:eastAsia="宋体" w:cs="Times New Roman"/>
          <w:sz w:val="22"/>
          <w:szCs w:val="22"/>
          <w:lang w:eastAsia="zh-CN"/>
        </w:rPr>
        <w:t>议</w:t>
      </w:r>
      <w:r>
        <w:rPr>
          <w:rFonts w:hint="eastAsia" w:ascii="Times New Roman" w:hAnsi="Times New Roman" w:cs="Times New Roman"/>
          <w:sz w:val="22"/>
          <w:szCs w:val="22"/>
          <w:lang w:eastAsia="zh-CN"/>
        </w:rPr>
        <w:t>，包括香港、澳</w:t>
      </w:r>
      <w:r>
        <w:rPr>
          <w:rFonts w:hint="eastAsia" w:ascii="Times New Roman" w:hAnsi="Times New Roman" w:eastAsia="宋体" w:cs="Times New Roman"/>
          <w:sz w:val="22"/>
          <w:szCs w:val="22"/>
          <w:lang w:eastAsia="zh-CN"/>
        </w:rPr>
        <w:t>门</w:t>
      </w:r>
      <w:r>
        <w:rPr>
          <w:rFonts w:hint="eastAsia" w:ascii="Times New Roman" w:hAnsi="Times New Roman" w:cs="Times New Roman"/>
          <w:sz w:val="22"/>
          <w:szCs w:val="22"/>
          <w:lang w:eastAsia="zh-CN"/>
        </w:rPr>
        <w:t>、新加坡、印尼、</w:t>
      </w:r>
      <w:r>
        <w:rPr>
          <w:rFonts w:hint="eastAsia" w:ascii="Times New Roman" w:hAnsi="Times New Roman" w:cs="Times New Roman"/>
          <w:sz w:val="22"/>
          <w:szCs w:val="22"/>
          <w:lang w:val="en-US" w:eastAsia="zh-CN"/>
        </w:rPr>
        <w:t>中国内地五</w:t>
      </w:r>
      <w:r>
        <w:rPr>
          <w:rFonts w:hint="eastAsia" w:ascii="Times New Roman" w:hAnsi="Times New Roman" w:cs="Times New Roman"/>
          <w:sz w:val="22"/>
          <w:szCs w:val="22"/>
          <w:lang w:eastAsia="zh-CN"/>
        </w:rPr>
        <w:t>地合</w:t>
      </w:r>
      <w:r>
        <w:rPr>
          <w:rFonts w:hint="eastAsia" w:ascii="Times New Roman" w:hAnsi="Times New Roman" w:eastAsia="宋体" w:cs="Times New Roman"/>
          <w:sz w:val="22"/>
          <w:szCs w:val="22"/>
          <w:lang w:eastAsia="zh-CN"/>
        </w:rPr>
        <w:t>规评</w:t>
      </w:r>
      <w:r>
        <w:rPr>
          <w:rFonts w:hint="eastAsia" w:ascii="Times New Roman" w:hAnsi="Times New Roman" w:cs="Times New Roman"/>
          <w:sz w:val="22"/>
          <w:szCs w:val="22"/>
          <w:lang w:eastAsia="zh-CN"/>
        </w:rPr>
        <w:t>估</w:t>
      </w:r>
      <w:r>
        <w:rPr>
          <w:rFonts w:hint="eastAsia" w:ascii="Times New Roman" w:hAnsi="Times New Roman" w:eastAsia="宋体" w:cs="Times New Roman"/>
          <w:sz w:val="22"/>
          <w:szCs w:val="22"/>
          <w:lang w:eastAsia="zh-CN"/>
        </w:rPr>
        <w:t>结</w:t>
      </w:r>
      <w:r>
        <w:rPr>
          <w:rFonts w:hint="eastAsia" w:ascii="Times New Roman" w:hAnsi="Times New Roman" w:cs="Times New Roman"/>
          <w:sz w:val="22"/>
          <w:szCs w:val="22"/>
          <w:lang w:eastAsia="zh-CN"/>
        </w:rPr>
        <w:t>果、云部署技</w:t>
      </w:r>
      <w:r>
        <w:rPr>
          <w:rFonts w:hint="eastAsia" w:ascii="Times New Roman" w:hAnsi="Times New Roman" w:eastAsia="宋体" w:cs="Times New Roman"/>
          <w:sz w:val="22"/>
          <w:szCs w:val="22"/>
          <w:lang w:eastAsia="zh-CN"/>
        </w:rPr>
        <w:t>术评</w:t>
      </w:r>
      <w:r>
        <w:rPr>
          <w:rFonts w:hint="eastAsia" w:ascii="Times New Roman" w:hAnsi="Times New Roman" w:cs="Times New Roman"/>
          <w:sz w:val="22"/>
          <w:szCs w:val="22"/>
          <w:lang w:eastAsia="zh-CN"/>
        </w:rPr>
        <w:t>估</w:t>
      </w:r>
      <w:r>
        <w:rPr>
          <w:rFonts w:hint="eastAsia" w:ascii="Times New Roman" w:hAnsi="Times New Roman" w:eastAsia="宋体" w:cs="Times New Roman"/>
          <w:sz w:val="22"/>
          <w:szCs w:val="22"/>
          <w:lang w:eastAsia="zh-CN"/>
        </w:rPr>
        <w:t>结</w:t>
      </w:r>
      <w:r>
        <w:rPr>
          <w:rFonts w:hint="eastAsia" w:ascii="Times New Roman" w:hAnsi="Times New Roman" w:cs="Times New Roman"/>
          <w:sz w:val="22"/>
          <w:szCs w:val="22"/>
          <w:lang w:eastAsia="zh-CN"/>
        </w:rPr>
        <w:t>果、网</w:t>
      </w:r>
      <w:r>
        <w:rPr>
          <w:rFonts w:hint="eastAsia" w:ascii="Times New Roman" w:hAnsi="Times New Roman" w:eastAsia="宋体" w:cs="Times New Roman"/>
          <w:sz w:val="22"/>
          <w:szCs w:val="22"/>
          <w:lang w:eastAsia="zh-CN"/>
        </w:rPr>
        <w:t>络</w:t>
      </w:r>
      <w:r>
        <w:rPr>
          <w:rFonts w:hint="eastAsia" w:ascii="Times New Roman" w:hAnsi="Times New Roman" w:cs="Times New Roman"/>
          <w:sz w:val="22"/>
          <w:szCs w:val="22"/>
          <w:lang w:eastAsia="zh-CN"/>
        </w:rPr>
        <w:t>安全法、</w:t>
      </w:r>
      <w:r>
        <w:rPr>
          <w:rFonts w:hint="eastAsia" w:ascii="Times New Roman" w:hAnsi="Times New Roman" w:eastAsia="宋体" w:cs="Times New Roman"/>
          <w:sz w:val="22"/>
          <w:szCs w:val="22"/>
          <w:lang w:eastAsia="zh-CN"/>
        </w:rPr>
        <w:t>数</w:t>
      </w:r>
      <w:r>
        <w:rPr>
          <w:rFonts w:hint="eastAsia" w:ascii="Times New Roman" w:hAnsi="Times New Roman" w:cs="Times New Roman"/>
          <w:sz w:val="22"/>
          <w:szCs w:val="22"/>
          <w:lang w:eastAsia="zh-CN"/>
        </w:rPr>
        <w:t>据安全法</w:t>
      </w:r>
      <w:r>
        <w:rPr>
          <w:rFonts w:hint="eastAsia" w:ascii="Times New Roman" w:hAnsi="Times New Roman" w:eastAsia="宋体" w:cs="Times New Roman"/>
          <w:sz w:val="22"/>
          <w:szCs w:val="22"/>
          <w:lang w:eastAsia="zh-CN"/>
        </w:rPr>
        <w:t>评</w:t>
      </w:r>
      <w:r>
        <w:rPr>
          <w:rFonts w:hint="eastAsia" w:ascii="Times New Roman" w:hAnsi="Times New Roman" w:cs="Times New Roman"/>
          <w:sz w:val="22"/>
          <w:szCs w:val="22"/>
          <w:lang w:eastAsia="zh-CN"/>
        </w:rPr>
        <w:t>估</w:t>
      </w:r>
      <w:r>
        <w:rPr>
          <w:rFonts w:hint="eastAsia" w:ascii="Times New Roman" w:hAnsi="Times New Roman" w:eastAsia="宋体" w:cs="Times New Roman"/>
          <w:sz w:val="22"/>
          <w:szCs w:val="22"/>
          <w:lang w:eastAsia="zh-CN"/>
        </w:rPr>
        <w:t>结</w:t>
      </w:r>
      <w:r>
        <w:rPr>
          <w:rFonts w:hint="eastAsia" w:ascii="Times New Roman" w:hAnsi="Times New Roman" w:cs="Times New Roman"/>
          <w:sz w:val="22"/>
          <w:szCs w:val="22"/>
          <w:lang w:eastAsia="zh-CN"/>
        </w:rPr>
        <w:t>果</w:t>
      </w:r>
      <w:r>
        <w:rPr>
          <w:rFonts w:hint="eastAsia" w:cs="Times New Roman" w:asciiTheme="minorEastAsia" w:hAnsiTheme="minorEastAsia" w:eastAsiaTheme="minorEastAsia"/>
          <w:sz w:val="22"/>
          <w:szCs w:val="22"/>
          <w:lang w:eastAsia="zh-CN"/>
        </w:rPr>
        <w:t>；</w:t>
      </w:r>
    </w:p>
    <w:p>
      <w:pPr>
        <w:pStyle w:val="9"/>
        <w:numPr>
          <w:ilvl w:val="0"/>
          <w:numId w:val="14"/>
        </w:numPr>
        <w:jc w:val="both"/>
        <w:rPr>
          <w:rFonts w:ascii="Times New Roman" w:hAnsi="Times New Roman" w:eastAsia="宋体" w:cs="Times New Roman"/>
          <w:sz w:val="22"/>
          <w:szCs w:val="22"/>
          <w:lang w:eastAsia="zh-CN"/>
        </w:rPr>
      </w:pPr>
      <w:r>
        <w:rPr>
          <w:rFonts w:hint="eastAsia" w:ascii="Times New Roman" w:hAnsi="Times New Roman" w:eastAsia="宋体" w:cs="Times New Roman"/>
          <w:sz w:val="22"/>
          <w:szCs w:val="22"/>
          <w:lang w:eastAsia="zh-CN"/>
        </w:rPr>
        <w:t>合规申报材料，协助调研多地合规申报的材料清单，并编制多地合规的申报材料（按需），辅助合规申报与获批；</w:t>
      </w:r>
    </w:p>
    <w:p>
      <w:pPr>
        <w:pStyle w:val="9"/>
        <w:numPr>
          <w:ilvl w:val="0"/>
          <w:numId w:val="14"/>
        </w:numPr>
        <w:jc w:val="both"/>
        <w:rPr>
          <w:rFonts w:ascii="Times New Roman" w:hAnsi="Times New Roman" w:eastAsia="宋体" w:cs="Times New Roman"/>
          <w:sz w:val="22"/>
          <w:szCs w:val="22"/>
          <w:lang w:eastAsia="zh-HK"/>
        </w:rPr>
      </w:pPr>
      <w:r>
        <w:rPr>
          <w:rFonts w:hint="eastAsia" w:ascii="Times New Roman" w:hAnsi="Times New Roman" w:eastAsia="宋体" w:cs="Times New Roman"/>
          <w:sz w:val="22"/>
          <w:szCs w:val="22"/>
          <w:lang w:eastAsia="zh-CN"/>
        </w:rPr>
        <w:t>提供总结报告，问题及解决措施</w:t>
      </w:r>
      <w:r>
        <w:rPr>
          <w:rFonts w:ascii="Times New Roman" w:hAnsi="Times New Roman" w:eastAsia="宋体" w:cs="Times New Roman"/>
          <w:sz w:val="22"/>
          <w:szCs w:val="22"/>
          <w:lang w:eastAsia="zh-CN"/>
        </w:rPr>
        <w:t>;</w:t>
      </w:r>
    </w:p>
    <w:p>
      <w:pPr>
        <w:pStyle w:val="9"/>
        <w:numPr>
          <w:ilvl w:val="0"/>
          <w:numId w:val="14"/>
        </w:numPr>
        <w:jc w:val="both"/>
        <w:rPr>
          <w:rFonts w:ascii="Times New Roman" w:hAnsi="Times New Roman" w:eastAsia="宋体" w:cs="Times New Roman"/>
          <w:sz w:val="22"/>
          <w:szCs w:val="22"/>
          <w:lang w:eastAsia="zh-HK"/>
        </w:rPr>
      </w:pPr>
      <w:r>
        <w:rPr>
          <w:rFonts w:hint="eastAsia" w:ascii="Times New Roman" w:hAnsi="Times New Roman" w:eastAsia="宋体" w:cs="Times New Roman"/>
          <w:sz w:val="22"/>
          <w:szCs w:val="22"/>
          <w:lang w:eastAsia="zh-CN"/>
        </w:rPr>
        <w:t>提供网络安全、隐私保护及</w:t>
      </w:r>
      <w:r>
        <w:rPr>
          <w:rFonts w:ascii="Times New Roman" w:hAnsi="Times New Roman" w:eastAsia="宋体" w:cs="Times New Roman"/>
          <w:sz w:val="22"/>
          <w:szCs w:val="22"/>
          <w:lang w:eastAsia="zh-CN"/>
        </w:rPr>
        <w:t>数据安全</w:t>
      </w:r>
      <w:r>
        <w:rPr>
          <w:rFonts w:hint="eastAsia" w:ascii="Times New Roman" w:hAnsi="Times New Roman" w:eastAsia="宋体" w:cs="Times New Roman"/>
          <w:sz w:val="22"/>
          <w:szCs w:val="22"/>
          <w:lang w:eastAsia="zh-CN"/>
        </w:rPr>
        <w:t>规范的落实情况评估报告；</w:t>
      </w:r>
    </w:p>
    <w:p>
      <w:pPr>
        <w:pStyle w:val="9"/>
        <w:numPr>
          <w:ilvl w:val="0"/>
          <w:numId w:val="14"/>
        </w:numPr>
        <w:jc w:val="both"/>
        <w:rPr>
          <w:rFonts w:ascii="Times New Roman" w:hAnsi="Times New Roman" w:eastAsia="宋体" w:cs="Times New Roman"/>
          <w:sz w:val="22"/>
          <w:szCs w:val="22"/>
          <w:lang w:eastAsia="zh-HK"/>
        </w:rPr>
      </w:pPr>
      <w:r>
        <w:rPr>
          <w:rFonts w:hint="eastAsia" w:ascii="Times New Roman" w:hAnsi="Times New Roman" w:eastAsia="宋体" w:cs="Times New Roman"/>
          <w:sz w:val="22"/>
          <w:szCs w:val="22"/>
          <w:lang w:eastAsia="zh-CN"/>
        </w:rPr>
        <w:t>输出年度风险评估标准范例；</w:t>
      </w:r>
    </w:p>
    <w:p>
      <w:pPr>
        <w:pStyle w:val="9"/>
        <w:numPr>
          <w:ilvl w:val="0"/>
          <w:numId w:val="14"/>
        </w:numPr>
        <w:jc w:val="both"/>
        <w:rPr>
          <w:rFonts w:ascii="Times New Roman" w:hAnsi="Times New Roman" w:eastAsia="宋体" w:cs="Times New Roman"/>
          <w:sz w:val="22"/>
          <w:szCs w:val="22"/>
          <w:lang w:eastAsia="zh-CN"/>
        </w:rPr>
      </w:pPr>
      <w:r>
        <w:rPr>
          <w:rFonts w:hint="eastAsia" w:ascii="Times New Roman" w:hAnsi="Times New Roman" w:eastAsia="宋体" w:cs="Times New Roman"/>
          <w:sz w:val="22"/>
          <w:szCs w:val="22"/>
          <w:lang w:val="en-US" w:eastAsia="zh-CN"/>
        </w:rPr>
        <w:t>五</w:t>
      </w:r>
      <w:bookmarkStart w:id="0" w:name="_GoBack"/>
      <w:bookmarkEnd w:id="0"/>
      <w:r>
        <w:rPr>
          <w:rFonts w:hint="eastAsia" w:ascii="Times New Roman" w:hAnsi="Times New Roman" w:eastAsia="宋体" w:cs="Times New Roman"/>
          <w:sz w:val="22"/>
          <w:szCs w:val="22"/>
          <w:lang w:eastAsia="zh-CN"/>
        </w:rPr>
        <w:t>个地区数据出境要求的分析解读报告（如果有），并提出遵循合规的技术意见和改进方案；</w:t>
      </w:r>
    </w:p>
    <w:p>
      <w:pPr>
        <w:pStyle w:val="9"/>
        <w:numPr>
          <w:ilvl w:val="0"/>
          <w:numId w:val="14"/>
        </w:numPr>
        <w:jc w:val="both"/>
        <w:rPr>
          <w:rFonts w:ascii="Times New Roman" w:hAnsi="Times New Roman" w:eastAsia="宋体" w:cs="Times New Roman"/>
          <w:sz w:val="22"/>
          <w:szCs w:val="22"/>
          <w:lang w:eastAsia="zh-CN"/>
        </w:rPr>
      </w:pPr>
      <w:r>
        <w:rPr>
          <w:rFonts w:hint="eastAsia" w:ascii="Times New Roman" w:hAnsi="Times New Roman" w:eastAsia="宋体" w:cs="Times New Roman"/>
          <w:sz w:val="22"/>
          <w:szCs w:val="22"/>
          <w:lang w:eastAsia="zh-CN"/>
        </w:rPr>
        <w:t>合规基线，基于各地区合规评估结果，结合海外公司自身情况，建立满足各地区监管合规要求的合规基线；</w:t>
      </w:r>
    </w:p>
    <w:p>
      <w:pPr>
        <w:pStyle w:val="9"/>
        <w:numPr>
          <w:ilvl w:val="0"/>
          <w:numId w:val="14"/>
        </w:numPr>
        <w:jc w:val="both"/>
        <w:rPr>
          <w:rFonts w:ascii="Times New Roman" w:hAnsi="Times New Roman" w:eastAsia="宋体" w:cs="Times New Roman"/>
          <w:sz w:val="22"/>
          <w:szCs w:val="22"/>
          <w:lang w:eastAsia="zh-CN"/>
        </w:rPr>
      </w:pPr>
      <w:r>
        <w:rPr>
          <w:rFonts w:hint="eastAsia" w:ascii="Times New Roman" w:hAnsi="Times New Roman" w:eastAsia="宋体" w:cs="Times New Roman"/>
          <w:sz w:val="22"/>
          <w:szCs w:val="22"/>
          <w:lang w:eastAsia="zh-CN"/>
        </w:rPr>
        <w:t>监管应对，不定期协助招标方应对各地金融监管单位所提出的合规响应要求。</w:t>
      </w:r>
    </w:p>
    <w:p>
      <w:pPr>
        <w:pStyle w:val="9"/>
        <w:jc w:val="both"/>
        <w:rPr>
          <w:rFonts w:ascii="Times New Roman" w:hAnsi="Times New Roman" w:eastAsia="宋体" w:cs="Times New Roman"/>
          <w:sz w:val="22"/>
          <w:szCs w:val="22"/>
          <w:lang w:eastAsia="zh-CN"/>
        </w:rPr>
      </w:pPr>
    </w:p>
    <w:p>
      <w:pPr>
        <w:pStyle w:val="9"/>
        <w:jc w:val="both"/>
        <w:rPr>
          <w:rFonts w:ascii="Times New Roman" w:hAnsi="Times New Roman" w:eastAsia="宋体" w:cs="Times New Roman"/>
          <w:sz w:val="22"/>
          <w:szCs w:val="22"/>
          <w:lang w:eastAsia="zh-HK"/>
        </w:rPr>
      </w:pPr>
    </w:p>
    <w:p>
      <w:pPr>
        <w:widowControl w:val="0"/>
        <w:jc w:val="both"/>
        <w:rPr>
          <w:rFonts w:ascii="Times New Roman" w:hAnsi="Times New Roman" w:cs="Times New Roman"/>
          <w:lang w:eastAsia="zh-CN"/>
        </w:rPr>
      </w:pPr>
      <w:r>
        <w:rPr>
          <w:rFonts w:hint="eastAsia" w:ascii="Times New Roman" w:hAnsi="Times New Roman" w:eastAsia="宋体" w:cs="Times New Roman"/>
          <w:sz w:val="22"/>
          <w:szCs w:val="22"/>
          <w:lang w:eastAsia="zh-CN"/>
        </w:rPr>
        <w:t>在发现潜在控制和安全问题时，把问题日志和控制改进建议（如果有）一起记录在案。然后定期分发给相关项目团队成员进行澄清和评论。问题日志的使用将使整个评估得到控制，对相关影响减到最低，并确保项目团队成员能够及时讨论，商议和解决发现的潜在问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PMingLiU">
    <w:altName w:val="Microsoft JhengHei"/>
    <w:panose1 w:val="02010601000101010101"/>
    <w:charset w:val="88"/>
    <w:family w:val="roman"/>
    <w:pitch w:val="default"/>
    <w:sig w:usb0="00000000" w:usb1="00000000" w:usb2="00000016" w:usb3="00000000" w:csb0="00100001" w:csb1="00000000"/>
  </w:font>
  <w:font w:name="MingLiU">
    <w:altName w:val="PMingLiU-ExtB"/>
    <w:panose1 w:val="02010609000101010101"/>
    <w:charset w:val="88"/>
    <w:family w:val="modern"/>
    <w:pitch w:val="default"/>
    <w:sig w:usb0="00000000" w:usb1="00000000" w:usb2="00000010" w:usb3="00000000" w:csb0="00100000" w:csb1="00000000"/>
  </w:font>
  <w:font w:name="Courier New">
    <w:panose1 w:val="02070309020205020404"/>
    <w:charset w:val="00"/>
    <w:family w:val="modern"/>
    <w:pitch w:val="default"/>
    <w:sig w:usb0="E0002EFF" w:usb1="C0007843" w:usb2="00000009" w:usb3="00000000" w:csb0="400001FF" w:csb1="FFFF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6B5"/>
    <w:multiLevelType w:val="multilevel"/>
    <w:tmpl w:val="005856B5"/>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4C05AA4"/>
    <w:multiLevelType w:val="multilevel"/>
    <w:tmpl w:val="04C05AA4"/>
    <w:lvl w:ilvl="0" w:tentative="0">
      <w:start w:val="1"/>
      <w:numFmt w:val="decimal"/>
      <w:lvlText w:val="(%1)"/>
      <w:lvlJc w:val="left"/>
      <w:pPr>
        <w:ind w:left="390" w:hanging="390"/>
      </w:pPr>
      <w:rPr>
        <w:rFonts w:hint="default"/>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08CE7262"/>
    <w:multiLevelType w:val="multilevel"/>
    <w:tmpl w:val="08CE7262"/>
    <w:lvl w:ilvl="0" w:tentative="0">
      <w:start w:val="1"/>
      <w:numFmt w:val="bullet"/>
      <w:lvlText w:val=""/>
      <w:lvlJc w:val="left"/>
      <w:pPr>
        <w:ind w:left="870" w:hanging="480"/>
      </w:pPr>
      <w:rPr>
        <w:rFonts w:hint="default" w:ascii="Symbol" w:hAnsi="Symbol"/>
      </w:rPr>
    </w:lvl>
    <w:lvl w:ilvl="1" w:tentative="0">
      <w:start w:val="1"/>
      <w:numFmt w:val="bullet"/>
      <w:lvlText w:val=""/>
      <w:lvlJc w:val="left"/>
      <w:pPr>
        <w:ind w:left="1350" w:hanging="480"/>
      </w:pPr>
      <w:rPr>
        <w:rFonts w:hint="default" w:ascii="Wingdings" w:hAnsi="Wingdings"/>
      </w:rPr>
    </w:lvl>
    <w:lvl w:ilvl="2" w:tentative="0">
      <w:start w:val="1"/>
      <w:numFmt w:val="bullet"/>
      <w:lvlText w:val=""/>
      <w:lvlJc w:val="left"/>
      <w:pPr>
        <w:ind w:left="1830" w:hanging="480"/>
      </w:pPr>
      <w:rPr>
        <w:rFonts w:hint="default" w:ascii="Wingdings" w:hAnsi="Wingdings"/>
      </w:rPr>
    </w:lvl>
    <w:lvl w:ilvl="3" w:tentative="0">
      <w:start w:val="1"/>
      <w:numFmt w:val="bullet"/>
      <w:lvlText w:val=""/>
      <w:lvlJc w:val="left"/>
      <w:pPr>
        <w:ind w:left="2310" w:hanging="480"/>
      </w:pPr>
      <w:rPr>
        <w:rFonts w:hint="default" w:ascii="Wingdings" w:hAnsi="Wingdings"/>
      </w:rPr>
    </w:lvl>
    <w:lvl w:ilvl="4" w:tentative="0">
      <w:start w:val="1"/>
      <w:numFmt w:val="bullet"/>
      <w:lvlText w:val=""/>
      <w:lvlJc w:val="left"/>
      <w:pPr>
        <w:ind w:left="2790" w:hanging="480"/>
      </w:pPr>
      <w:rPr>
        <w:rFonts w:hint="default" w:ascii="Wingdings" w:hAnsi="Wingdings"/>
      </w:rPr>
    </w:lvl>
    <w:lvl w:ilvl="5" w:tentative="0">
      <w:start w:val="1"/>
      <w:numFmt w:val="bullet"/>
      <w:lvlText w:val=""/>
      <w:lvlJc w:val="left"/>
      <w:pPr>
        <w:ind w:left="3270" w:hanging="480"/>
      </w:pPr>
      <w:rPr>
        <w:rFonts w:hint="default" w:ascii="Wingdings" w:hAnsi="Wingdings"/>
      </w:rPr>
    </w:lvl>
    <w:lvl w:ilvl="6" w:tentative="0">
      <w:start w:val="1"/>
      <w:numFmt w:val="bullet"/>
      <w:lvlText w:val=""/>
      <w:lvlJc w:val="left"/>
      <w:pPr>
        <w:ind w:left="3750" w:hanging="480"/>
      </w:pPr>
      <w:rPr>
        <w:rFonts w:hint="default" w:ascii="Wingdings" w:hAnsi="Wingdings"/>
      </w:rPr>
    </w:lvl>
    <w:lvl w:ilvl="7" w:tentative="0">
      <w:start w:val="1"/>
      <w:numFmt w:val="bullet"/>
      <w:lvlText w:val=""/>
      <w:lvlJc w:val="left"/>
      <w:pPr>
        <w:ind w:left="4230" w:hanging="480"/>
      </w:pPr>
      <w:rPr>
        <w:rFonts w:hint="default" w:ascii="Wingdings" w:hAnsi="Wingdings"/>
      </w:rPr>
    </w:lvl>
    <w:lvl w:ilvl="8" w:tentative="0">
      <w:start w:val="1"/>
      <w:numFmt w:val="bullet"/>
      <w:lvlText w:val=""/>
      <w:lvlJc w:val="left"/>
      <w:pPr>
        <w:ind w:left="4710" w:hanging="480"/>
      </w:pPr>
      <w:rPr>
        <w:rFonts w:hint="default" w:ascii="Wingdings" w:hAnsi="Wingdings"/>
      </w:rPr>
    </w:lvl>
  </w:abstractNum>
  <w:abstractNum w:abstractNumId="3">
    <w:nsid w:val="140244CA"/>
    <w:multiLevelType w:val="multilevel"/>
    <w:tmpl w:val="140244CA"/>
    <w:lvl w:ilvl="0" w:tentative="0">
      <w:start w:val="1"/>
      <w:numFmt w:val="bullet"/>
      <w:lvlText w:val=""/>
      <w:lvlJc w:val="left"/>
      <w:pPr>
        <w:ind w:left="870" w:hanging="480"/>
      </w:pPr>
      <w:rPr>
        <w:rFonts w:hint="default" w:ascii="Symbol" w:hAnsi="Symbol"/>
      </w:rPr>
    </w:lvl>
    <w:lvl w:ilvl="1" w:tentative="0">
      <w:start w:val="1"/>
      <w:numFmt w:val="bullet"/>
      <w:lvlText w:val=""/>
      <w:lvlJc w:val="left"/>
      <w:pPr>
        <w:ind w:left="1350" w:hanging="480"/>
      </w:pPr>
      <w:rPr>
        <w:rFonts w:hint="default" w:ascii="Wingdings" w:hAnsi="Wingdings"/>
      </w:rPr>
    </w:lvl>
    <w:lvl w:ilvl="2" w:tentative="0">
      <w:start w:val="1"/>
      <w:numFmt w:val="bullet"/>
      <w:lvlText w:val=""/>
      <w:lvlJc w:val="left"/>
      <w:pPr>
        <w:ind w:left="1830" w:hanging="480"/>
      </w:pPr>
      <w:rPr>
        <w:rFonts w:hint="default" w:ascii="Wingdings" w:hAnsi="Wingdings"/>
      </w:rPr>
    </w:lvl>
    <w:lvl w:ilvl="3" w:tentative="0">
      <w:start w:val="1"/>
      <w:numFmt w:val="bullet"/>
      <w:lvlText w:val=""/>
      <w:lvlJc w:val="left"/>
      <w:pPr>
        <w:ind w:left="2310" w:hanging="480"/>
      </w:pPr>
      <w:rPr>
        <w:rFonts w:hint="default" w:ascii="Wingdings" w:hAnsi="Wingdings"/>
      </w:rPr>
    </w:lvl>
    <w:lvl w:ilvl="4" w:tentative="0">
      <w:start w:val="1"/>
      <w:numFmt w:val="bullet"/>
      <w:lvlText w:val=""/>
      <w:lvlJc w:val="left"/>
      <w:pPr>
        <w:ind w:left="2790" w:hanging="480"/>
      </w:pPr>
      <w:rPr>
        <w:rFonts w:hint="default" w:ascii="Wingdings" w:hAnsi="Wingdings"/>
      </w:rPr>
    </w:lvl>
    <w:lvl w:ilvl="5" w:tentative="0">
      <w:start w:val="1"/>
      <w:numFmt w:val="bullet"/>
      <w:lvlText w:val=""/>
      <w:lvlJc w:val="left"/>
      <w:pPr>
        <w:ind w:left="3270" w:hanging="480"/>
      </w:pPr>
      <w:rPr>
        <w:rFonts w:hint="default" w:ascii="Wingdings" w:hAnsi="Wingdings"/>
      </w:rPr>
    </w:lvl>
    <w:lvl w:ilvl="6" w:tentative="0">
      <w:start w:val="1"/>
      <w:numFmt w:val="bullet"/>
      <w:lvlText w:val=""/>
      <w:lvlJc w:val="left"/>
      <w:pPr>
        <w:ind w:left="3750" w:hanging="480"/>
      </w:pPr>
      <w:rPr>
        <w:rFonts w:hint="default" w:ascii="Wingdings" w:hAnsi="Wingdings"/>
      </w:rPr>
    </w:lvl>
    <w:lvl w:ilvl="7" w:tentative="0">
      <w:start w:val="1"/>
      <w:numFmt w:val="bullet"/>
      <w:lvlText w:val=""/>
      <w:lvlJc w:val="left"/>
      <w:pPr>
        <w:ind w:left="4230" w:hanging="480"/>
      </w:pPr>
      <w:rPr>
        <w:rFonts w:hint="default" w:ascii="Wingdings" w:hAnsi="Wingdings"/>
      </w:rPr>
    </w:lvl>
    <w:lvl w:ilvl="8" w:tentative="0">
      <w:start w:val="1"/>
      <w:numFmt w:val="bullet"/>
      <w:lvlText w:val=""/>
      <w:lvlJc w:val="left"/>
      <w:pPr>
        <w:ind w:left="4710" w:hanging="480"/>
      </w:pPr>
      <w:rPr>
        <w:rFonts w:hint="default" w:ascii="Wingdings" w:hAnsi="Wingdings"/>
      </w:rPr>
    </w:lvl>
  </w:abstractNum>
  <w:abstractNum w:abstractNumId="4">
    <w:nsid w:val="1EAF4E0B"/>
    <w:multiLevelType w:val="multilevel"/>
    <w:tmpl w:val="1EAF4E0B"/>
    <w:lvl w:ilvl="0" w:tentative="0">
      <w:start w:val="1"/>
      <w:numFmt w:val="decimal"/>
      <w:lvlText w:val="(%1)"/>
      <w:lvlJc w:val="left"/>
      <w:pPr>
        <w:ind w:left="375" w:hanging="375"/>
      </w:pPr>
      <w:rPr>
        <w:rFonts w:hint="default"/>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5">
    <w:nsid w:val="2E733995"/>
    <w:multiLevelType w:val="multilevel"/>
    <w:tmpl w:val="2E733995"/>
    <w:lvl w:ilvl="0" w:tentative="0">
      <w:start w:val="1"/>
      <w:numFmt w:val="bullet"/>
      <w:lvlText w:val=""/>
      <w:lvlJc w:val="left"/>
      <w:pPr>
        <w:ind w:left="480" w:hanging="480"/>
      </w:pPr>
      <w:rPr>
        <w:rFonts w:hint="default" w:ascii="Symbol" w:hAnsi="Symbol"/>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49AE5A9F"/>
    <w:multiLevelType w:val="multilevel"/>
    <w:tmpl w:val="49AE5A9F"/>
    <w:lvl w:ilvl="0" w:tentative="0">
      <w:start w:val="1"/>
      <w:numFmt w:val="decimal"/>
      <w:lvlText w:val="%1."/>
      <w:lvlJc w:val="left"/>
      <w:pPr>
        <w:ind w:left="0" w:hanging="360"/>
      </w:pPr>
    </w:lvl>
    <w:lvl w:ilvl="1" w:tentative="0">
      <w:start w:val="1"/>
      <w:numFmt w:val="lowerLetter"/>
      <w:lvlText w:val="%2."/>
      <w:lvlJc w:val="left"/>
      <w:pPr>
        <w:ind w:left="720" w:hanging="360"/>
      </w:pPr>
    </w:lvl>
    <w:lvl w:ilvl="2" w:tentative="0">
      <w:start w:val="1"/>
      <w:numFmt w:val="lowerRoman"/>
      <w:lvlText w:val="%3."/>
      <w:lvlJc w:val="right"/>
      <w:pPr>
        <w:ind w:left="1440" w:hanging="180"/>
      </w:pPr>
    </w:lvl>
    <w:lvl w:ilvl="3" w:tentative="0">
      <w:start w:val="1"/>
      <w:numFmt w:val="decimal"/>
      <w:lvlText w:val="%4."/>
      <w:lvlJc w:val="left"/>
      <w:pPr>
        <w:ind w:left="2160" w:hanging="360"/>
      </w:pPr>
    </w:lvl>
    <w:lvl w:ilvl="4" w:tentative="0">
      <w:start w:val="1"/>
      <w:numFmt w:val="lowerLetter"/>
      <w:lvlText w:val="%5."/>
      <w:lvlJc w:val="left"/>
      <w:pPr>
        <w:ind w:left="2880" w:hanging="360"/>
      </w:pPr>
    </w:lvl>
    <w:lvl w:ilvl="5" w:tentative="0">
      <w:start w:val="1"/>
      <w:numFmt w:val="lowerRoman"/>
      <w:lvlText w:val="%6."/>
      <w:lvlJc w:val="right"/>
      <w:pPr>
        <w:ind w:left="3600" w:hanging="180"/>
      </w:pPr>
    </w:lvl>
    <w:lvl w:ilvl="6" w:tentative="0">
      <w:start w:val="1"/>
      <w:numFmt w:val="decimal"/>
      <w:lvlText w:val="%7."/>
      <w:lvlJc w:val="left"/>
      <w:pPr>
        <w:ind w:left="4320" w:hanging="360"/>
      </w:pPr>
    </w:lvl>
    <w:lvl w:ilvl="7" w:tentative="0">
      <w:start w:val="1"/>
      <w:numFmt w:val="lowerLetter"/>
      <w:lvlText w:val="%8."/>
      <w:lvlJc w:val="left"/>
      <w:pPr>
        <w:ind w:left="5040" w:hanging="360"/>
      </w:pPr>
    </w:lvl>
    <w:lvl w:ilvl="8" w:tentative="0">
      <w:start w:val="1"/>
      <w:numFmt w:val="lowerRoman"/>
      <w:lvlText w:val="%9."/>
      <w:lvlJc w:val="right"/>
      <w:pPr>
        <w:ind w:left="5760" w:hanging="180"/>
      </w:pPr>
    </w:lvl>
  </w:abstractNum>
  <w:abstractNum w:abstractNumId="7">
    <w:nsid w:val="4BA0022D"/>
    <w:multiLevelType w:val="multilevel"/>
    <w:tmpl w:val="4BA0022D"/>
    <w:lvl w:ilvl="0" w:tentative="0">
      <w:start w:val="1"/>
      <w:numFmt w:val="decimal"/>
      <w:lvlText w:val="%1."/>
      <w:lvlJc w:val="left"/>
      <w:pPr>
        <w:tabs>
          <w:tab w:val="left" w:pos="720"/>
        </w:tabs>
        <w:ind w:left="720" w:hanging="360"/>
      </w:pPr>
      <w:rPr>
        <w:rFonts w:cs="Times New Roman" w:asciiTheme="minorEastAsia" w:hAnsiTheme="minorEastAsia" w:eastAsiaTheme="minorEastAsia"/>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4E7C3C7C"/>
    <w:multiLevelType w:val="multilevel"/>
    <w:tmpl w:val="4E7C3C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4B97B34"/>
    <w:multiLevelType w:val="multilevel"/>
    <w:tmpl w:val="54B97B34"/>
    <w:lvl w:ilvl="0" w:tentative="0">
      <w:start w:val="1"/>
      <w:numFmt w:val="bullet"/>
      <w:lvlText w:val=""/>
      <w:lvlJc w:val="left"/>
      <w:pPr>
        <w:ind w:left="870" w:hanging="480"/>
      </w:pPr>
      <w:rPr>
        <w:rFonts w:hint="default" w:ascii="Symbol" w:hAnsi="Symbol"/>
      </w:rPr>
    </w:lvl>
    <w:lvl w:ilvl="1" w:tentative="0">
      <w:start w:val="1"/>
      <w:numFmt w:val="bullet"/>
      <w:lvlText w:val=""/>
      <w:lvlJc w:val="left"/>
      <w:pPr>
        <w:ind w:left="1350" w:hanging="480"/>
      </w:pPr>
      <w:rPr>
        <w:rFonts w:hint="default" w:ascii="Wingdings" w:hAnsi="Wingdings"/>
      </w:rPr>
    </w:lvl>
    <w:lvl w:ilvl="2" w:tentative="0">
      <w:start w:val="1"/>
      <w:numFmt w:val="bullet"/>
      <w:lvlText w:val=""/>
      <w:lvlJc w:val="left"/>
      <w:pPr>
        <w:ind w:left="1830" w:hanging="480"/>
      </w:pPr>
      <w:rPr>
        <w:rFonts w:hint="default" w:ascii="Wingdings" w:hAnsi="Wingdings"/>
      </w:rPr>
    </w:lvl>
    <w:lvl w:ilvl="3" w:tentative="0">
      <w:start w:val="1"/>
      <w:numFmt w:val="bullet"/>
      <w:lvlText w:val=""/>
      <w:lvlJc w:val="left"/>
      <w:pPr>
        <w:ind w:left="2310" w:hanging="480"/>
      </w:pPr>
      <w:rPr>
        <w:rFonts w:hint="default" w:ascii="Wingdings" w:hAnsi="Wingdings"/>
      </w:rPr>
    </w:lvl>
    <w:lvl w:ilvl="4" w:tentative="0">
      <w:start w:val="1"/>
      <w:numFmt w:val="bullet"/>
      <w:lvlText w:val=""/>
      <w:lvlJc w:val="left"/>
      <w:pPr>
        <w:ind w:left="2790" w:hanging="480"/>
      </w:pPr>
      <w:rPr>
        <w:rFonts w:hint="default" w:ascii="Wingdings" w:hAnsi="Wingdings"/>
      </w:rPr>
    </w:lvl>
    <w:lvl w:ilvl="5" w:tentative="0">
      <w:start w:val="1"/>
      <w:numFmt w:val="bullet"/>
      <w:lvlText w:val=""/>
      <w:lvlJc w:val="left"/>
      <w:pPr>
        <w:ind w:left="3270" w:hanging="480"/>
      </w:pPr>
      <w:rPr>
        <w:rFonts w:hint="default" w:ascii="Wingdings" w:hAnsi="Wingdings"/>
      </w:rPr>
    </w:lvl>
    <w:lvl w:ilvl="6" w:tentative="0">
      <w:start w:val="1"/>
      <w:numFmt w:val="bullet"/>
      <w:lvlText w:val=""/>
      <w:lvlJc w:val="left"/>
      <w:pPr>
        <w:ind w:left="3750" w:hanging="480"/>
      </w:pPr>
      <w:rPr>
        <w:rFonts w:hint="default" w:ascii="Wingdings" w:hAnsi="Wingdings"/>
      </w:rPr>
    </w:lvl>
    <w:lvl w:ilvl="7" w:tentative="0">
      <w:start w:val="1"/>
      <w:numFmt w:val="bullet"/>
      <w:lvlText w:val=""/>
      <w:lvlJc w:val="left"/>
      <w:pPr>
        <w:ind w:left="4230" w:hanging="480"/>
      </w:pPr>
      <w:rPr>
        <w:rFonts w:hint="default" w:ascii="Wingdings" w:hAnsi="Wingdings"/>
      </w:rPr>
    </w:lvl>
    <w:lvl w:ilvl="8" w:tentative="0">
      <w:start w:val="1"/>
      <w:numFmt w:val="bullet"/>
      <w:lvlText w:val=""/>
      <w:lvlJc w:val="left"/>
      <w:pPr>
        <w:ind w:left="4710" w:hanging="480"/>
      </w:pPr>
      <w:rPr>
        <w:rFonts w:hint="default" w:ascii="Wingdings" w:hAnsi="Wingdings"/>
      </w:rPr>
    </w:lvl>
  </w:abstractNum>
  <w:abstractNum w:abstractNumId="10">
    <w:nsid w:val="55AD12A9"/>
    <w:multiLevelType w:val="multilevel"/>
    <w:tmpl w:val="55AD12A9"/>
    <w:lvl w:ilvl="0" w:tentative="0">
      <w:start w:val="1"/>
      <w:numFmt w:val="bullet"/>
      <w:lvlText w:val=""/>
      <w:lvlJc w:val="left"/>
      <w:pPr>
        <w:ind w:left="870" w:hanging="480"/>
      </w:pPr>
      <w:rPr>
        <w:rFonts w:hint="default" w:ascii="Symbol" w:hAnsi="Symbol"/>
      </w:rPr>
    </w:lvl>
    <w:lvl w:ilvl="1" w:tentative="0">
      <w:start w:val="1"/>
      <w:numFmt w:val="bullet"/>
      <w:lvlText w:val=""/>
      <w:lvlJc w:val="left"/>
      <w:pPr>
        <w:ind w:left="1350" w:hanging="480"/>
      </w:pPr>
      <w:rPr>
        <w:rFonts w:hint="default" w:ascii="Wingdings" w:hAnsi="Wingdings"/>
      </w:rPr>
    </w:lvl>
    <w:lvl w:ilvl="2" w:tentative="0">
      <w:start w:val="1"/>
      <w:numFmt w:val="bullet"/>
      <w:lvlText w:val=""/>
      <w:lvlJc w:val="left"/>
      <w:pPr>
        <w:ind w:left="1830" w:hanging="480"/>
      </w:pPr>
      <w:rPr>
        <w:rFonts w:hint="default" w:ascii="Wingdings" w:hAnsi="Wingdings"/>
      </w:rPr>
    </w:lvl>
    <w:lvl w:ilvl="3" w:tentative="0">
      <w:start w:val="1"/>
      <w:numFmt w:val="bullet"/>
      <w:lvlText w:val=""/>
      <w:lvlJc w:val="left"/>
      <w:pPr>
        <w:ind w:left="2310" w:hanging="480"/>
      </w:pPr>
      <w:rPr>
        <w:rFonts w:hint="default" w:ascii="Wingdings" w:hAnsi="Wingdings"/>
      </w:rPr>
    </w:lvl>
    <w:lvl w:ilvl="4" w:tentative="0">
      <w:start w:val="1"/>
      <w:numFmt w:val="bullet"/>
      <w:lvlText w:val=""/>
      <w:lvlJc w:val="left"/>
      <w:pPr>
        <w:ind w:left="2790" w:hanging="480"/>
      </w:pPr>
      <w:rPr>
        <w:rFonts w:hint="default" w:ascii="Wingdings" w:hAnsi="Wingdings"/>
      </w:rPr>
    </w:lvl>
    <w:lvl w:ilvl="5" w:tentative="0">
      <w:start w:val="1"/>
      <w:numFmt w:val="bullet"/>
      <w:lvlText w:val=""/>
      <w:lvlJc w:val="left"/>
      <w:pPr>
        <w:ind w:left="3270" w:hanging="480"/>
      </w:pPr>
      <w:rPr>
        <w:rFonts w:hint="default" w:ascii="Wingdings" w:hAnsi="Wingdings"/>
      </w:rPr>
    </w:lvl>
    <w:lvl w:ilvl="6" w:tentative="0">
      <w:start w:val="1"/>
      <w:numFmt w:val="bullet"/>
      <w:lvlText w:val=""/>
      <w:lvlJc w:val="left"/>
      <w:pPr>
        <w:ind w:left="3750" w:hanging="480"/>
      </w:pPr>
      <w:rPr>
        <w:rFonts w:hint="default" w:ascii="Wingdings" w:hAnsi="Wingdings"/>
      </w:rPr>
    </w:lvl>
    <w:lvl w:ilvl="7" w:tentative="0">
      <w:start w:val="1"/>
      <w:numFmt w:val="bullet"/>
      <w:lvlText w:val=""/>
      <w:lvlJc w:val="left"/>
      <w:pPr>
        <w:ind w:left="4230" w:hanging="480"/>
      </w:pPr>
      <w:rPr>
        <w:rFonts w:hint="default" w:ascii="Wingdings" w:hAnsi="Wingdings"/>
      </w:rPr>
    </w:lvl>
    <w:lvl w:ilvl="8" w:tentative="0">
      <w:start w:val="1"/>
      <w:numFmt w:val="bullet"/>
      <w:lvlText w:val=""/>
      <w:lvlJc w:val="left"/>
      <w:pPr>
        <w:ind w:left="4710" w:hanging="480"/>
      </w:pPr>
      <w:rPr>
        <w:rFonts w:hint="default" w:ascii="Wingdings" w:hAnsi="Wingdings"/>
      </w:rPr>
    </w:lvl>
  </w:abstractNum>
  <w:abstractNum w:abstractNumId="11">
    <w:nsid w:val="6CF302DB"/>
    <w:multiLevelType w:val="multilevel"/>
    <w:tmpl w:val="6CF302DB"/>
    <w:lvl w:ilvl="0" w:tentative="0">
      <w:start w:val="1"/>
      <w:numFmt w:val="bullet"/>
      <w:lvlText w:val=""/>
      <w:lvlJc w:val="left"/>
      <w:pPr>
        <w:ind w:left="480" w:hanging="480"/>
      </w:pPr>
      <w:rPr>
        <w:rFonts w:hint="default" w:ascii="Symbol" w:hAnsi="Symbol"/>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76043FEA"/>
    <w:multiLevelType w:val="multilevel"/>
    <w:tmpl w:val="76043FEA"/>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B095C7B"/>
    <w:multiLevelType w:val="multilevel"/>
    <w:tmpl w:val="7B095C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0"/>
  </w:num>
  <w:num w:numId="4">
    <w:abstractNumId w:val="13"/>
  </w:num>
  <w:num w:numId="5">
    <w:abstractNumId w:val="8"/>
  </w:num>
  <w:num w:numId="6">
    <w:abstractNumId w:val="4"/>
  </w:num>
  <w:num w:numId="7">
    <w:abstractNumId w:val="11"/>
  </w:num>
  <w:num w:numId="8">
    <w:abstractNumId w:val="5"/>
  </w:num>
  <w:num w:numId="9">
    <w:abstractNumId w:val="1"/>
  </w:num>
  <w:num w:numId="10">
    <w:abstractNumId w:val="9"/>
  </w:num>
  <w:num w:numId="11">
    <w:abstractNumId w:val="3"/>
  </w:num>
  <w:num w:numId="12">
    <w:abstractNumId w:val="10"/>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70D"/>
    <w:rsid w:val="000154AE"/>
    <w:rsid w:val="00015881"/>
    <w:rsid w:val="00030013"/>
    <w:rsid w:val="000408E1"/>
    <w:rsid w:val="000614CB"/>
    <w:rsid w:val="000774B4"/>
    <w:rsid w:val="0008547E"/>
    <w:rsid w:val="0009612E"/>
    <w:rsid w:val="000B42D3"/>
    <w:rsid w:val="000C20F6"/>
    <w:rsid w:val="000D1135"/>
    <w:rsid w:val="00101F5E"/>
    <w:rsid w:val="00131E19"/>
    <w:rsid w:val="00151237"/>
    <w:rsid w:val="0015404F"/>
    <w:rsid w:val="0015462F"/>
    <w:rsid w:val="001741E1"/>
    <w:rsid w:val="00174DEB"/>
    <w:rsid w:val="00180D1D"/>
    <w:rsid w:val="001915F4"/>
    <w:rsid w:val="001C07A4"/>
    <w:rsid w:val="001C2AD8"/>
    <w:rsid w:val="001C2DF0"/>
    <w:rsid w:val="001C6879"/>
    <w:rsid w:val="001E2806"/>
    <w:rsid w:val="001F3C99"/>
    <w:rsid w:val="001F4698"/>
    <w:rsid w:val="0022557B"/>
    <w:rsid w:val="00231082"/>
    <w:rsid w:val="002320A7"/>
    <w:rsid w:val="00272E8D"/>
    <w:rsid w:val="002853E7"/>
    <w:rsid w:val="002966E3"/>
    <w:rsid w:val="002C403A"/>
    <w:rsid w:val="002C4A7C"/>
    <w:rsid w:val="002D54B7"/>
    <w:rsid w:val="002E4661"/>
    <w:rsid w:val="00314157"/>
    <w:rsid w:val="00322736"/>
    <w:rsid w:val="00341EE0"/>
    <w:rsid w:val="00346300"/>
    <w:rsid w:val="0035198B"/>
    <w:rsid w:val="0037356F"/>
    <w:rsid w:val="00382ED4"/>
    <w:rsid w:val="003965C8"/>
    <w:rsid w:val="003C04AE"/>
    <w:rsid w:val="003C5028"/>
    <w:rsid w:val="003C65E0"/>
    <w:rsid w:val="003D0AF9"/>
    <w:rsid w:val="003F2C3A"/>
    <w:rsid w:val="00406AB3"/>
    <w:rsid w:val="00411338"/>
    <w:rsid w:val="00437B2E"/>
    <w:rsid w:val="00463309"/>
    <w:rsid w:val="00463665"/>
    <w:rsid w:val="004652CE"/>
    <w:rsid w:val="004714A1"/>
    <w:rsid w:val="004847B8"/>
    <w:rsid w:val="0049736E"/>
    <w:rsid w:val="004A1E8C"/>
    <w:rsid w:val="004C0235"/>
    <w:rsid w:val="004C474C"/>
    <w:rsid w:val="004E4C8B"/>
    <w:rsid w:val="004E694D"/>
    <w:rsid w:val="00502EDD"/>
    <w:rsid w:val="005177FB"/>
    <w:rsid w:val="0053485F"/>
    <w:rsid w:val="005367F4"/>
    <w:rsid w:val="0053737E"/>
    <w:rsid w:val="00546A06"/>
    <w:rsid w:val="00561C3B"/>
    <w:rsid w:val="00573B29"/>
    <w:rsid w:val="00575481"/>
    <w:rsid w:val="00583085"/>
    <w:rsid w:val="005A4B41"/>
    <w:rsid w:val="005B1314"/>
    <w:rsid w:val="005D2B1A"/>
    <w:rsid w:val="005E6176"/>
    <w:rsid w:val="005F6F43"/>
    <w:rsid w:val="00603349"/>
    <w:rsid w:val="00603E56"/>
    <w:rsid w:val="00605162"/>
    <w:rsid w:val="00623223"/>
    <w:rsid w:val="00633A75"/>
    <w:rsid w:val="00653FA3"/>
    <w:rsid w:val="006545E3"/>
    <w:rsid w:val="006614C9"/>
    <w:rsid w:val="00677736"/>
    <w:rsid w:val="00680F68"/>
    <w:rsid w:val="006A63E3"/>
    <w:rsid w:val="006C34FC"/>
    <w:rsid w:val="006E3E8F"/>
    <w:rsid w:val="006F5F3C"/>
    <w:rsid w:val="00704D8E"/>
    <w:rsid w:val="007166C5"/>
    <w:rsid w:val="007504D8"/>
    <w:rsid w:val="0075183D"/>
    <w:rsid w:val="00762CCE"/>
    <w:rsid w:val="00771DAC"/>
    <w:rsid w:val="00775351"/>
    <w:rsid w:val="007D0AA1"/>
    <w:rsid w:val="007E138C"/>
    <w:rsid w:val="008047B8"/>
    <w:rsid w:val="00845AAC"/>
    <w:rsid w:val="00851424"/>
    <w:rsid w:val="008549BB"/>
    <w:rsid w:val="008861FA"/>
    <w:rsid w:val="008A4F23"/>
    <w:rsid w:val="008B08AF"/>
    <w:rsid w:val="008B4A99"/>
    <w:rsid w:val="008B65BC"/>
    <w:rsid w:val="008C2980"/>
    <w:rsid w:val="008D57E9"/>
    <w:rsid w:val="008E5E57"/>
    <w:rsid w:val="008E742D"/>
    <w:rsid w:val="008F094D"/>
    <w:rsid w:val="00900913"/>
    <w:rsid w:val="009023E9"/>
    <w:rsid w:val="00942AAB"/>
    <w:rsid w:val="00953A5C"/>
    <w:rsid w:val="00967BEA"/>
    <w:rsid w:val="00986D6D"/>
    <w:rsid w:val="009A1E33"/>
    <w:rsid w:val="009C4B5F"/>
    <w:rsid w:val="009F2461"/>
    <w:rsid w:val="00A34881"/>
    <w:rsid w:val="00A45D6B"/>
    <w:rsid w:val="00A45F30"/>
    <w:rsid w:val="00A602CB"/>
    <w:rsid w:val="00A661B2"/>
    <w:rsid w:val="00AA016F"/>
    <w:rsid w:val="00AA5280"/>
    <w:rsid w:val="00AA7687"/>
    <w:rsid w:val="00AB323B"/>
    <w:rsid w:val="00AC759C"/>
    <w:rsid w:val="00AE6072"/>
    <w:rsid w:val="00B026A0"/>
    <w:rsid w:val="00B11C59"/>
    <w:rsid w:val="00B16532"/>
    <w:rsid w:val="00B204C4"/>
    <w:rsid w:val="00B30835"/>
    <w:rsid w:val="00B40DCB"/>
    <w:rsid w:val="00B440CB"/>
    <w:rsid w:val="00B64865"/>
    <w:rsid w:val="00B714B6"/>
    <w:rsid w:val="00B82BF1"/>
    <w:rsid w:val="00BE7081"/>
    <w:rsid w:val="00C07B50"/>
    <w:rsid w:val="00C17EEA"/>
    <w:rsid w:val="00C27066"/>
    <w:rsid w:val="00C3426C"/>
    <w:rsid w:val="00C56BED"/>
    <w:rsid w:val="00C56EB9"/>
    <w:rsid w:val="00C6757D"/>
    <w:rsid w:val="00CA0674"/>
    <w:rsid w:val="00CA298C"/>
    <w:rsid w:val="00CB6267"/>
    <w:rsid w:val="00CC4F9C"/>
    <w:rsid w:val="00CD28EA"/>
    <w:rsid w:val="00CE69F8"/>
    <w:rsid w:val="00CE7C19"/>
    <w:rsid w:val="00CF393F"/>
    <w:rsid w:val="00D0005B"/>
    <w:rsid w:val="00D06895"/>
    <w:rsid w:val="00D430F0"/>
    <w:rsid w:val="00D45A94"/>
    <w:rsid w:val="00D54B95"/>
    <w:rsid w:val="00D63C31"/>
    <w:rsid w:val="00D725AD"/>
    <w:rsid w:val="00D729FA"/>
    <w:rsid w:val="00D72B7E"/>
    <w:rsid w:val="00DA2BC9"/>
    <w:rsid w:val="00DA2D71"/>
    <w:rsid w:val="00DC3F22"/>
    <w:rsid w:val="00DD09F9"/>
    <w:rsid w:val="00DF6728"/>
    <w:rsid w:val="00E2770D"/>
    <w:rsid w:val="00E7792A"/>
    <w:rsid w:val="00E97518"/>
    <w:rsid w:val="00EC3DDE"/>
    <w:rsid w:val="00EC475B"/>
    <w:rsid w:val="00ED2F78"/>
    <w:rsid w:val="00ED7B5F"/>
    <w:rsid w:val="00EE4918"/>
    <w:rsid w:val="00EF2A76"/>
    <w:rsid w:val="00F173E8"/>
    <w:rsid w:val="00F378AD"/>
    <w:rsid w:val="00F408BB"/>
    <w:rsid w:val="00F6794D"/>
    <w:rsid w:val="00F9303F"/>
    <w:rsid w:val="00FA2209"/>
    <w:rsid w:val="00FA4B7E"/>
    <w:rsid w:val="00FC11D9"/>
    <w:rsid w:val="00FD446D"/>
    <w:rsid w:val="00FE61A6"/>
    <w:rsid w:val="070711D2"/>
    <w:rsid w:val="1B9F64D0"/>
    <w:rsid w:val="20810034"/>
    <w:rsid w:val="23F91B12"/>
    <w:rsid w:val="27AF1B0B"/>
    <w:rsid w:val="28A0736D"/>
    <w:rsid w:val="2F56445B"/>
    <w:rsid w:val="2FBD2DE2"/>
    <w:rsid w:val="30690B0A"/>
    <w:rsid w:val="405457F3"/>
    <w:rsid w:val="454F2861"/>
    <w:rsid w:val="48FD1F31"/>
    <w:rsid w:val="547601CD"/>
    <w:rsid w:val="65F15482"/>
    <w:rsid w:val="6C146381"/>
    <w:rsid w:val="6F694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tLeast"/>
    </w:pPr>
    <w:rPr>
      <w:rFonts w:ascii="Georgia" w:hAnsi="Georgia" w:eastAsia="PMingLiU" w:cs="Georgia"/>
      <w:kern w:val="0"/>
      <w:sz w:val="20"/>
      <w:szCs w:val="20"/>
      <w:lang w:val="en-GB" w:eastAsia="en-US" w:bidi="ar-SA"/>
    </w:rPr>
  </w:style>
  <w:style w:type="paragraph" w:styleId="2">
    <w:name w:val="heading 1"/>
    <w:basedOn w:val="1"/>
    <w:next w:val="1"/>
    <w:link w:val="8"/>
    <w:qFormat/>
    <w:uiPriority w:val="99"/>
    <w:pPr>
      <w:keepNext/>
      <w:keepLines/>
      <w:spacing w:before="480"/>
      <w:outlineLvl w:val="0"/>
    </w:pPr>
    <w:rPr>
      <w:rFonts w:eastAsia="MingLiU"/>
      <w:b/>
      <w:bCs/>
      <w:sz w:val="28"/>
      <w:szCs w:val="28"/>
      <w:lang w:val="en-US"/>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7"/>
    <w:unhideWhenUsed/>
    <w:qFormat/>
    <w:uiPriority w:val="99"/>
    <w:pPr>
      <w:tabs>
        <w:tab w:val="center" w:pos="4153"/>
        <w:tab w:val="right" w:pos="8306"/>
      </w:tabs>
      <w:snapToGrid w:val="0"/>
    </w:pPr>
    <w:rPr>
      <w:sz w:val="18"/>
      <w:szCs w:val="18"/>
    </w:rPr>
  </w:style>
  <w:style w:type="paragraph" w:styleId="4">
    <w:name w:val="header"/>
    <w:basedOn w:val="1"/>
    <w:link w:val="16"/>
    <w:unhideWhenUsed/>
    <w:qFormat/>
    <w:uiPriority w:val="99"/>
    <w:pPr>
      <w:tabs>
        <w:tab w:val="center" w:pos="4153"/>
        <w:tab w:val="right" w:pos="8306"/>
      </w:tabs>
      <w:snapToGrid w:val="0"/>
      <w:jc w:val="center"/>
    </w:pPr>
    <w:rPr>
      <w:sz w:val="18"/>
      <w:szCs w:val="18"/>
    </w:rPr>
  </w:style>
  <w:style w:type="table" w:styleId="6">
    <w:name w:val="Table Grid"/>
    <w:basedOn w:val="5"/>
    <w:qFormat/>
    <w:uiPriority w:val="59"/>
    <w:rPr>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1 字符"/>
    <w:basedOn w:val="7"/>
    <w:link w:val="2"/>
    <w:qFormat/>
    <w:uiPriority w:val="99"/>
    <w:rPr>
      <w:rFonts w:ascii="Georgia" w:hAnsi="Georgia" w:eastAsia="MingLiU" w:cs="Georgia"/>
      <w:b/>
      <w:bCs/>
      <w:kern w:val="0"/>
      <w:sz w:val="28"/>
      <w:szCs w:val="28"/>
      <w:lang w:eastAsia="en-US"/>
    </w:rPr>
  </w:style>
  <w:style w:type="paragraph" w:styleId="9">
    <w:name w:val="List Paragraph"/>
    <w:basedOn w:val="1"/>
    <w:qFormat/>
    <w:uiPriority w:val="34"/>
    <w:pPr>
      <w:ind w:left="720"/>
    </w:pPr>
  </w:style>
  <w:style w:type="paragraph" w:customStyle="1" w:styleId="10">
    <w:name w:val="Basic text"/>
    <w:basedOn w:val="1"/>
    <w:qFormat/>
    <w:uiPriority w:val="0"/>
    <w:pPr>
      <w:tabs>
        <w:tab w:val="left" w:pos="993"/>
      </w:tabs>
      <w:adjustRightInd w:val="0"/>
      <w:snapToGrid w:val="0"/>
      <w:spacing w:after="290" w:line="290" w:lineRule="atLeast"/>
      <w:jc w:val="both"/>
    </w:pPr>
    <w:rPr>
      <w:rFonts w:ascii="Times New Roman" w:hAnsi="Times New Roman" w:eastAsia="宋体" w:cs="Times New Roman"/>
      <w:sz w:val="24"/>
    </w:rPr>
  </w:style>
  <w:style w:type="paragraph" w:customStyle="1" w:styleId="11">
    <w:name w:val="paragraph"/>
    <w:basedOn w:val="1"/>
    <w:uiPriority w:val="0"/>
    <w:pPr>
      <w:spacing w:before="100" w:beforeAutospacing="1" w:after="100" w:afterAutospacing="1" w:line="240" w:lineRule="auto"/>
    </w:pPr>
    <w:rPr>
      <w:rFonts w:ascii="Times New Roman" w:hAnsi="Times New Roman" w:eastAsia="Times New Roman" w:cs="Times New Roman"/>
      <w:sz w:val="24"/>
      <w:szCs w:val="24"/>
      <w:lang w:val="en-US" w:eastAsia="zh-CN"/>
    </w:rPr>
  </w:style>
  <w:style w:type="character" w:customStyle="1" w:styleId="12">
    <w:name w:val="normaltextrun"/>
    <w:basedOn w:val="7"/>
    <w:qFormat/>
    <w:uiPriority w:val="0"/>
  </w:style>
  <w:style w:type="character" w:customStyle="1" w:styleId="13">
    <w:name w:val="contextualspellingandgrammarerror"/>
    <w:basedOn w:val="7"/>
    <w:uiPriority w:val="0"/>
  </w:style>
  <w:style w:type="character" w:customStyle="1" w:styleId="14">
    <w:name w:val="eop"/>
    <w:basedOn w:val="7"/>
    <w:uiPriority w:val="0"/>
  </w:style>
  <w:style w:type="paragraph" w:customStyle="1" w:styleId="15">
    <w:name w:val="Revision"/>
    <w:hidden/>
    <w:semiHidden/>
    <w:uiPriority w:val="99"/>
    <w:rPr>
      <w:rFonts w:ascii="Georgia" w:hAnsi="Georgia" w:eastAsia="PMingLiU" w:cs="Georgia"/>
      <w:kern w:val="0"/>
      <w:sz w:val="20"/>
      <w:szCs w:val="20"/>
      <w:lang w:val="en-GB" w:eastAsia="en-US" w:bidi="ar-SA"/>
    </w:rPr>
  </w:style>
  <w:style w:type="character" w:customStyle="1" w:styleId="16">
    <w:name w:val="页眉 字符"/>
    <w:basedOn w:val="7"/>
    <w:link w:val="4"/>
    <w:qFormat/>
    <w:uiPriority w:val="99"/>
    <w:rPr>
      <w:rFonts w:ascii="Georgia" w:hAnsi="Georgia" w:eastAsia="PMingLiU" w:cs="Georgia"/>
      <w:kern w:val="0"/>
      <w:sz w:val="18"/>
      <w:szCs w:val="18"/>
      <w:lang w:val="en-GB" w:eastAsia="en-US"/>
    </w:rPr>
  </w:style>
  <w:style w:type="character" w:customStyle="1" w:styleId="17">
    <w:name w:val="页脚 字符"/>
    <w:basedOn w:val="7"/>
    <w:link w:val="3"/>
    <w:uiPriority w:val="99"/>
    <w:rPr>
      <w:rFonts w:ascii="Georgia" w:hAnsi="Georgia" w:eastAsia="PMingLiU" w:cs="Georgia"/>
      <w:kern w:val="0"/>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709</Words>
  <Characters>4043</Characters>
  <Lines>33</Lines>
  <Paragraphs>9</Paragraphs>
  <TotalTime>92</TotalTime>
  <ScaleCrop>false</ScaleCrop>
  <LinksUpToDate>false</LinksUpToDate>
  <CharactersWithSpaces>4743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2023-06-20T14:23:00Z</dcterms:created>
  <dc:creator>S0222 丁盛伟</dc:creator>
  <cp:lastModifiedBy>S0021</cp:lastModifiedBy>
  <dcterms:modified xsi:type="dcterms:W3CDTF">2023-06-30T10:01:09Z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